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00" w:after="1000" w:line="560" w:lineRule="exact"/>
        <w:jc w:val="center"/>
        <w:rPr>
          <w:rFonts w:hint="default" w:ascii="宋体" w:hAnsi="宋体" w:eastAsia="宋体" w:cs="宋体"/>
          <w:sz w:val="18"/>
          <w:szCs w:val="18"/>
          <w:lang w:val="en-US" w:eastAsia="zh-CN"/>
        </w:rPr>
      </w:pPr>
      <w:r>
        <w:rPr>
          <w:rFonts w:ascii="宋体" w:hAnsi="宋体" w:eastAsia="宋体" w:cs="宋体"/>
          <w:sz w:val="18"/>
          <w:szCs w:val="18"/>
        </w:rPr>
        <w:t xml:space="preserve">证券代码：001219            </w:t>
      </w:r>
      <w:r>
        <w:rPr>
          <w:rFonts w:hint="eastAsia" w:ascii="宋体" w:hAnsi="宋体" w:cs="宋体"/>
          <w:sz w:val="18"/>
          <w:szCs w:val="18"/>
          <w:lang w:val="en-US" w:eastAsia="zh-CN"/>
        </w:rPr>
        <w:t xml:space="preserve">          </w:t>
      </w:r>
      <w:r>
        <w:rPr>
          <w:rFonts w:ascii="宋体" w:hAnsi="宋体" w:eastAsia="宋体" w:cs="宋体"/>
          <w:sz w:val="18"/>
          <w:szCs w:val="18"/>
        </w:rPr>
        <w:t xml:space="preserve">    证券简称：青岛食品          </w:t>
      </w:r>
      <w:r>
        <w:rPr>
          <w:rFonts w:hint="eastAsia" w:ascii="宋体" w:hAnsi="宋体" w:cs="宋体"/>
          <w:sz w:val="18"/>
          <w:szCs w:val="18"/>
          <w:lang w:val="en-US" w:eastAsia="zh-CN"/>
        </w:rPr>
        <w:t xml:space="preserve">          </w:t>
      </w:r>
      <w:r>
        <w:rPr>
          <w:rFonts w:ascii="宋体" w:hAnsi="宋体" w:eastAsia="宋体" w:cs="宋体"/>
          <w:sz w:val="18"/>
          <w:szCs w:val="18"/>
        </w:rPr>
        <w:t xml:space="preserve">      公告编号：</w:t>
      </w:r>
      <w:r>
        <w:rPr>
          <w:rFonts w:hint="eastAsia" w:ascii="宋体" w:hAnsi="宋体" w:cs="宋体"/>
          <w:sz w:val="18"/>
          <w:szCs w:val="18"/>
          <w:lang w:val="en-US" w:eastAsia="zh-CN"/>
        </w:rPr>
        <w:t>2024-029</w:t>
      </w:r>
    </w:p>
    <w:p>
      <w:pPr>
        <w:spacing w:before="0" w:after="1000" w:line="400" w:lineRule="exact"/>
        <w:jc w:val="center"/>
        <w:rPr>
          <w:rFonts w:ascii="宋体" w:hAnsi="宋体" w:eastAsia="宋体" w:cs="宋体"/>
          <w:b/>
          <w:bCs/>
          <w:sz w:val="36"/>
          <w:szCs w:val="36"/>
        </w:rPr>
      </w:pPr>
      <w:r>
        <w:rPr>
          <w:rFonts w:ascii="宋体" w:hAnsi="宋体" w:eastAsia="宋体" w:cs="宋体"/>
          <w:b/>
          <w:bCs/>
          <w:sz w:val="36"/>
          <w:szCs w:val="36"/>
        </w:rPr>
        <w:t>青岛食品股份有限公司2024年半年度报告摘要</w:t>
      </w:r>
    </w:p>
    <w:p>
      <w:pPr>
        <w:keepNext/>
        <w:keepLines/>
        <w:spacing w:before="300" w:after="300" w:line="320" w:lineRule="exact"/>
        <w:jc w:val="left"/>
        <w:outlineLvl w:val="1"/>
        <w:rPr>
          <w:rFonts w:ascii="宋体" w:hAnsi="宋体" w:eastAsia="宋体" w:cs="宋体"/>
          <w:b/>
          <w:bCs/>
          <w:sz w:val="24"/>
          <w:szCs w:val="24"/>
        </w:rPr>
      </w:pPr>
      <w:bookmarkStart w:id="0" w:name="_Toc988889"/>
      <w:r>
        <w:rPr>
          <w:rFonts w:ascii="宋体" w:hAnsi="宋体" w:eastAsia="宋体" w:cs="宋体"/>
          <w:b/>
          <w:bCs/>
          <w:sz w:val="24"/>
          <w:szCs w:val="24"/>
        </w:rPr>
        <w:t>一、重要提示</w:t>
      </w:r>
      <w:bookmarkEnd w:id="0"/>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本半年度报告摘要来自半年度报告全文，为全面了解本公司的经营成果、财务状况及未来发展规划，投资者应当到证监会指定媒体仔细阅读半年度报告全文。</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所有董事均已出席了审议本报告的董事会会议。</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非标准审计意见提示</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 xml:space="preserve">□适用 </w:t>
      </w:r>
      <w:r>
        <w:rPr>
          <w:rFonts w:hint="eastAsia" w:ascii="宋体" w:hAnsi="宋体" w:eastAsia="宋体" w:cs="宋体"/>
          <w:sz w:val="21"/>
          <w:szCs w:val="21"/>
        </w:rPr>
        <w:sym w:font="Wingdings 2" w:char="F052"/>
      </w:r>
      <w:r>
        <w:rPr>
          <w:rFonts w:hint="eastAsia" w:ascii="宋体" w:hAnsi="宋体" w:eastAsia="宋体" w:cs="宋体"/>
          <w:sz w:val="21"/>
          <w:szCs w:val="21"/>
        </w:rPr>
        <w:t>不适用</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董事会审议的报告期利润分配预案或公积金转增股本预案</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 xml:space="preserve">□适用 </w:t>
      </w:r>
      <w:r>
        <w:rPr>
          <w:rFonts w:hint="eastAsia" w:ascii="宋体" w:hAnsi="宋体" w:eastAsia="宋体" w:cs="宋体"/>
          <w:sz w:val="21"/>
          <w:szCs w:val="21"/>
        </w:rPr>
        <w:sym w:font="Wingdings 2" w:char="F052"/>
      </w:r>
      <w:r>
        <w:rPr>
          <w:rFonts w:hint="eastAsia" w:ascii="宋体" w:hAnsi="宋体" w:eastAsia="宋体" w:cs="宋体"/>
          <w:sz w:val="21"/>
          <w:szCs w:val="21"/>
        </w:rPr>
        <w:t>不适用</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公司计划不派发现金红利，不送红股，不以公积金转增股本。</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董事会决议通过的本报告期优先股利润分配预案</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 xml:space="preserve">□适用 </w:t>
      </w:r>
      <w:r>
        <w:rPr>
          <w:rFonts w:hint="eastAsia" w:ascii="宋体" w:hAnsi="宋体" w:eastAsia="宋体" w:cs="宋体"/>
          <w:sz w:val="21"/>
          <w:szCs w:val="21"/>
        </w:rPr>
        <w:sym w:font="Wingdings 2" w:char="F052"/>
      </w:r>
      <w:r>
        <w:rPr>
          <w:rFonts w:hint="eastAsia" w:ascii="宋体" w:hAnsi="宋体" w:eastAsia="宋体" w:cs="宋体"/>
          <w:sz w:val="21"/>
          <w:szCs w:val="21"/>
        </w:rPr>
        <w:t>不适用</w:t>
      </w:r>
    </w:p>
    <w:p>
      <w:pPr>
        <w:keepNext/>
        <w:keepLines/>
        <w:spacing w:before="300" w:after="300" w:line="320" w:lineRule="exact"/>
        <w:jc w:val="left"/>
        <w:outlineLvl w:val="1"/>
        <w:rPr>
          <w:rFonts w:ascii="宋体" w:hAnsi="宋体" w:eastAsia="宋体" w:cs="宋体"/>
          <w:b/>
          <w:bCs/>
          <w:sz w:val="24"/>
          <w:szCs w:val="24"/>
        </w:rPr>
      </w:pPr>
      <w:bookmarkStart w:id="1" w:name="_Toc988890"/>
      <w:r>
        <w:rPr>
          <w:rFonts w:ascii="宋体" w:hAnsi="宋体" w:eastAsia="宋体" w:cs="宋体"/>
          <w:b/>
          <w:bCs/>
          <w:sz w:val="24"/>
          <w:szCs w:val="24"/>
        </w:rPr>
        <w:t>二、公司基本情况</w:t>
      </w:r>
      <w:bookmarkEnd w:id="1"/>
    </w:p>
    <w:p>
      <w:pPr>
        <w:keepNext/>
        <w:keepLines/>
        <w:spacing w:before="300" w:after="300" w:line="280" w:lineRule="exact"/>
        <w:jc w:val="left"/>
        <w:outlineLvl w:val="2"/>
        <w:rPr>
          <w:rFonts w:ascii="宋体" w:hAnsi="宋体" w:eastAsia="宋体" w:cs="宋体"/>
          <w:b/>
          <w:bCs/>
          <w:sz w:val="21"/>
          <w:szCs w:val="21"/>
        </w:rPr>
      </w:pPr>
      <w:bookmarkStart w:id="2" w:name="_Toc988891"/>
      <w:r>
        <w:rPr>
          <w:rFonts w:ascii="宋体" w:hAnsi="宋体" w:eastAsia="宋体" w:cs="宋体"/>
          <w:b/>
          <w:bCs/>
          <w:sz w:val="21"/>
          <w:szCs w:val="21"/>
        </w:rPr>
        <w:t>1、公司简介</w:t>
      </w:r>
      <w:bookmarkEnd w:id="2"/>
    </w:p>
    <w:tbl>
      <w:tblPr>
        <w:tblStyle w:val="3"/>
        <w:tblW w:w="96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13"/>
        <w:gridCol w:w="2142"/>
        <w:gridCol w:w="1071"/>
        <w:gridCol w:w="1071"/>
        <w:gridCol w:w="21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213" w:type="dxa"/>
            <w:shd w:val="clear" w:color="auto" w:fill="D3D3D3"/>
            <w:vAlign w:val="center"/>
          </w:tcPr>
          <w:p>
            <w:pPr>
              <w:spacing w:before="40" w:after="40" w:line="240" w:lineRule="exact"/>
              <w:jc w:val="left"/>
              <w:rPr>
                <w:rFonts w:ascii="宋体" w:hAnsi="宋体" w:eastAsia="宋体" w:cs="宋体"/>
                <w:sz w:val="18"/>
                <w:szCs w:val="18"/>
              </w:rPr>
            </w:pPr>
            <w:r>
              <w:rPr>
                <w:rFonts w:ascii="宋体" w:hAnsi="宋体" w:eastAsia="宋体" w:cs="宋体"/>
                <w:sz w:val="18"/>
                <w:szCs w:val="18"/>
              </w:rPr>
              <w:t>股票简称</w:t>
            </w:r>
          </w:p>
        </w:tc>
        <w:tc>
          <w:tcPr>
            <w:tcW w:w="2142" w:type="dxa"/>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青岛食品</w:t>
            </w:r>
          </w:p>
        </w:tc>
        <w:tc>
          <w:tcPr>
            <w:tcW w:w="2142" w:type="dxa"/>
            <w:gridSpan w:val="2"/>
            <w:shd w:val="clear" w:color="auto" w:fill="D3D3D3"/>
            <w:vAlign w:val="center"/>
          </w:tcPr>
          <w:p>
            <w:pPr>
              <w:spacing w:before="40" w:after="40" w:line="240" w:lineRule="exact"/>
              <w:jc w:val="left"/>
              <w:rPr>
                <w:rFonts w:ascii="宋体" w:hAnsi="宋体" w:eastAsia="宋体" w:cs="宋体"/>
                <w:sz w:val="18"/>
                <w:szCs w:val="18"/>
              </w:rPr>
            </w:pPr>
            <w:r>
              <w:rPr>
                <w:rFonts w:ascii="宋体" w:hAnsi="宋体" w:eastAsia="宋体" w:cs="宋体"/>
                <w:sz w:val="18"/>
                <w:szCs w:val="18"/>
              </w:rPr>
              <w:t>股票代码</w:t>
            </w:r>
          </w:p>
        </w:tc>
        <w:tc>
          <w:tcPr>
            <w:tcW w:w="2142" w:type="dxa"/>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001219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213" w:type="dxa"/>
            <w:shd w:val="clear" w:color="auto" w:fill="D3D3D3"/>
            <w:vAlign w:val="center"/>
          </w:tcPr>
          <w:p>
            <w:pPr>
              <w:spacing w:before="40" w:after="40" w:line="240" w:lineRule="exact"/>
              <w:jc w:val="left"/>
              <w:rPr>
                <w:rFonts w:ascii="宋体" w:hAnsi="宋体" w:eastAsia="宋体" w:cs="宋体"/>
                <w:sz w:val="18"/>
                <w:szCs w:val="18"/>
              </w:rPr>
            </w:pPr>
            <w:r>
              <w:rPr>
                <w:rFonts w:ascii="宋体" w:hAnsi="宋体" w:eastAsia="宋体" w:cs="宋体"/>
                <w:sz w:val="18"/>
                <w:szCs w:val="18"/>
              </w:rPr>
              <w:t>股票上市交易所</w:t>
            </w:r>
          </w:p>
        </w:tc>
        <w:tc>
          <w:tcPr>
            <w:tcW w:w="6426" w:type="dxa"/>
            <w:gridSpan w:val="4"/>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深圳证券交易所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213" w:type="dxa"/>
            <w:shd w:val="clear" w:color="auto" w:fill="D3D3D3"/>
            <w:vAlign w:val="center"/>
          </w:tcPr>
          <w:p>
            <w:pPr>
              <w:spacing w:before="40" w:after="40" w:line="240" w:lineRule="exact"/>
              <w:jc w:val="center"/>
              <w:rPr>
                <w:rFonts w:ascii="宋体" w:hAnsi="宋体" w:eastAsia="宋体" w:cs="宋体"/>
                <w:sz w:val="18"/>
                <w:szCs w:val="18"/>
              </w:rPr>
            </w:pPr>
            <w:r>
              <w:rPr>
                <w:rFonts w:ascii="宋体" w:hAnsi="宋体" w:eastAsia="宋体" w:cs="宋体"/>
                <w:sz w:val="18"/>
                <w:szCs w:val="18"/>
              </w:rPr>
              <w:t>联系人和联系方式</w:t>
            </w:r>
          </w:p>
        </w:tc>
        <w:tc>
          <w:tcPr>
            <w:tcW w:w="3213" w:type="dxa"/>
            <w:gridSpan w:val="2"/>
            <w:shd w:val="clear" w:color="auto" w:fill="D3D3D3"/>
            <w:vAlign w:val="center"/>
          </w:tcPr>
          <w:p>
            <w:pPr>
              <w:spacing w:before="40" w:after="40" w:line="240" w:lineRule="exact"/>
              <w:jc w:val="center"/>
              <w:rPr>
                <w:rFonts w:ascii="宋体" w:hAnsi="宋体" w:eastAsia="宋体" w:cs="宋体"/>
                <w:sz w:val="18"/>
                <w:szCs w:val="18"/>
              </w:rPr>
            </w:pPr>
            <w:r>
              <w:rPr>
                <w:rFonts w:ascii="宋体" w:hAnsi="宋体" w:eastAsia="宋体" w:cs="宋体"/>
                <w:sz w:val="18"/>
                <w:szCs w:val="18"/>
              </w:rPr>
              <w:t>董事会秘书</w:t>
            </w:r>
          </w:p>
        </w:tc>
        <w:tc>
          <w:tcPr>
            <w:tcW w:w="3213" w:type="dxa"/>
            <w:gridSpan w:val="2"/>
            <w:shd w:val="clear" w:color="auto" w:fill="D3D3D3"/>
            <w:vAlign w:val="center"/>
          </w:tcPr>
          <w:p>
            <w:pPr>
              <w:spacing w:before="40" w:after="40" w:line="240" w:lineRule="exact"/>
              <w:jc w:val="center"/>
              <w:rPr>
                <w:rFonts w:ascii="宋体" w:hAnsi="宋体" w:eastAsia="宋体" w:cs="宋体"/>
                <w:sz w:val="18"/>
                <w:szCs w:val="18"/>
              </w:rPr>
            </w:pPr>
            <w:r>
              <w:rPr>
                <w:rFonts w:ascii="宋体" w:hAnsi="宋体" w:eastAsia="宋体" w:cs="宋体"/>
                <w:sz w:val="18"/>
                <w:szCs w:val="18"/>
              </w:rPr>
              <w:t>证券事务代表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213" w:type="dxa"/>
            <w:shd w:val="clear" w:color="auto" w:fill="D3D3D3"/>
            <w:vAlign w:val="center"/>
          </w:tcPr>
          <w:p>
            <w:pPr>
              <w:spacing w:before="40" w:after="40" w:line="240" w:lineRule="exact"/>
              <w:jc w:val="left"/>
              <w:rPr>
                <w:rFonts w:ascii="宋体" w:hAnsi="宋体" w:eastAsia="宋体" w:cs="宋体"/>
                <w:sz w:val="18"/>
                <w:szCs w:val="18"/>
              </w:rPr>
            </w:pPr>
            <w:r>
              <w:rPr>
                <w:rFonts w:ascii="宋体" w:hAnsi="宋体" w:eastAsia="宋体" w:cs="宋体"/>
                <w:sz w:val="18"/>
                <w:szCs w:val="18"/>
              </w:rPr>
              <w:t>姓名</w:t>
            </w:r>
          </w:p>
        </w:tc>
        <w:tc>
          <w:tcPr>
            <w:tcW w:w="3213" w:type="dxa"/>
            <w:gridSpan w:val="2"/>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张松涛</w:t>
            </w:r>
          </w:p>
        </w:tc>
        <w:tc>
          <w:tcPr>
            <w:tcW w:w="3213" w:type="dxa"/>
            <w:gridSpan w:val="2"/>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李春宏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213" w:type="dxa"/>
            <w:shd w:val="clear" w:color="auto" w:fill="D3D3D3"/>
            <w:vAlign w:val="center"/>
          </w:tcPr>
          <w:p>
            <w:pPr>
              <w:spacing w:before="40" w:after="40" w:line="240" w:lineRule="exact"/>
              <w:jc w:val="left"/>
              <w:rPr>
                <w:rFonts w:ascii="宋体" w:hAnsi="宋体" w:eastAsia="宋体" w:cs="宋体"/>
                <w:sz w:val="18"/>
                <w:szCs w:val="18"/>
              </w:rPr>
            </w:pPr>
            <w:r>
              <w:rPr>
                <w:rFonts w:ascii="宋体" w:hAnsi="宋体" w:eastAsia="宋体" w:cs="宋体"/>
                <w:sz w:val="18"/>
                <w:szCs w:val="18"/>
              </w:rPr>
              <w:t>办公地址</w:t>
            </w:r>
          </w:p>
        </w:tc>
        <w:tc>
          <w:tcPr>
            <w:tcW w:w="3213" w:type="dxa"/>
            <w:gridSpan w:val="2"/>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青岛市李沧区四流中支路2号</w:t>
            </w:r>
          </w:p>
        </w:tc>
        <w:tc>
          <w:tcPr>
            <w:tcW w:w="3213" w:type="dxa"/>
            <w:gridSpan w:val="2"/>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青岛市李沧区四流中支路2号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213" w:type="dxa"/>
            <w:shd w:val="clear" w:color="auto" w:fill="D3D3D3"/>
            <w:vAlign w:val="center"/>
          </w:tcPr>
          <w:p>
            <w:pPr>
              <w:spacing w:before="40" w:after="40" w:line="240" w:lineRule="exact"/>
              <w:jc w:val="left"/>
              <w:rPr>
                <w:rFonts w:ascii="宋体" w:hAnsi="宋体" w:eastAsia="宋体" w:cs="宋体"/>
                <w:sz w:val="18"/>
                <w:szCs w:val="18"/>
              </w:rPr>
            </w:pPr>
            <w:r>
              <w:rPr>
                <w:rFonts w:ascii="宋体" w:hAnsi="宋体" w:eastAsia="宋体" w:cs="宋体"/>
                <w:sz w:val="18"/>
                <w:szCs w:val="18"/>
              </w:rPr>
              <w:t>电话</w:t>
            </w:r>
          </w:p>
        </w:tc>
        <w:tc>
          <w:tcPr>
            <w:tcW w:w="3213" w:type="dxa"/>
            <w:gridSpan w:val="2"/>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0532-84633589</w:t>
            </w:r>
          </w:p>
        </w:tc>
        <w:tc>
          <w:tcPr>
            <w:tcW w:w="3213" w:type="dxa"/>
            <w:gridSpan w:val="2"/>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0532-84633589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213" w:type="dxa"/>
            <w:shd w:val="clear" w:color="auto" w:fill="D3D3D3"/>
            <w:vAlign w:val="center"/>
          </w:tcPr>
          <w:p>
            <w:pPr>
              <w:spacing w:before="40" w:after="40" w:line="240" w:lineRule="exact"/>
              <w:jc w:val="left"/>
              <w:rPr>
                <w:rFonts w:ascii="宋体" w:hAnsi="宋体" w:eastAsia="宋体" w:cs="宋体"/>
                <w:sz w:val="18"/>
                <w:szCs w:val="18"/>
              </w:rPr>
            </w:pPr>
            <w:r>
              <w:rPr>
                <w:rFonts w:ascii="宋体" w:hAnsi="宋体" w:eastAsia="宋体" w:cs="宋体"/>
                <w:sz w:val="18"/>
                <w:szCs w:val="18"/>
              </w:rPr>
              <w:t>电子信箱</w:t>
            </w:r>
          </w:p>
        </w:tc>
        <w:tc>
          <w:tcPr>
            <w:tcW w:w="3213" w:type="dxa"/>
            <w:gridSpan w:val="2"/>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ir@qdfood.com</w:t>
            </w:r>
          </w:p>
        </w:tc>
        <w:tc>
          <w:tcPr>
            <w:tcW w:w="3213" w:type="dxa"/>
            <w:gridSpan w:val="2"/>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ir@qdfood.com</w:t>
            </w:r>
          </w:p>
        </w:tc>
      </w:tr>
    </w:tbl>
    <w:p>
      <w:pPr>
        <w:keepNext/>
        <w:keepLines/>
        <w:spacing w:before="300" w:after="300" w:line="280" w:lineRule="exact"/>
        <w:jc w:val="left"/>
        <w:outlineLvl w:val="2"/>
        <w:rPr>
          <w:rFonts w:ascii="宋体" w:hAnsi="宋体" w:eastAsia="宋体" w:cs="宋体"/>
          <w:b/>
          <w:bCs/>
          <w:sz w:val="21"/>
          <w:szCs w:val="21"/>
        </w:rPr>
      </w:pPr>
      <w:bookmarkStart w:id="3" w:name="_Toc988892"/>
      <w:r>
        <w:rPr>
          <w:rFonts w:ascii="宋体" w:hAnsi="宋体" w:eastAsia="宋体" w:cs="宋体"/>
          <w:b/>
          <w:bCs/>
          <w:sz w:val="21"/>
          <w:szCs w:val="21"/>
        </w:rPr>
        <w:t>2、主要会计数据和财务指标</w:t>
      </w:r>
      <w:bookmarkEnd w:id="3"/>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公司是否需追溯调整或重述以前年度会计数据</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 xml:space="preserve">□是 </w:t>
      </w:r>
      <w:r>
        <w:rPr>
          <w:rFonts w:hint="eastAsia" w:ascii="宋体" w:hAnsi="宋体" w:eastAsia="宋体" w:cs="宋体"/>
          <w:sz w:val="21"/>
          <w:szCs w:val="21"/>
        </w:rPr>
        <w:sym w:font="Wingdings 2" w:char="F052"/>
      </w:r>
      <w:r>
        <w:rPr>
          <w:rFonts w:hint="eastAsia" w:ascii="宋体" w:hAnsi="宋体" w:eastAsia="宋体" w:cs="宋体"/>
          <w:sz w:val="21"/>
          <w:szCs w:val="21"/>
        </w:rPr>
        <w:t>否</w:t>
      </w:r>
    </w:p>
    <w:tbl>
      <w:tblPr>
        <w:tblStyle w:val="3"/>
        <w:tblW w:w="96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08"/>
        <w:gridCol w:w="2037"/>
        <w:gridCol w:w="1875"/>
        <w:gridCol w:w="2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208" w:type="dxa"/>
            <w:shd w:val="clear" w:color="auto" w:fill="D3D3D3"/>
            <w:vAlign w:val="center"/>
          </w:tcPr>
          <w:p/>
        </w:tc>
        <w:tc>
          <w:tcPr>
            <w:tcW w:w="2037" w:type="dxa"/>
            <w:shd w:val="clear" w:color="auto" w:fill="D3D3D3"/>
            <w:vAlign w:val="center"/>
          </w:tcPr>
          <w:p>
            <w:pPr>
              <w:spacing w:before="40" w:after="40" w:line="240" w:lineRule="exact"/>
              <w:jc w:val="center"/>
              <w:rPr>
                <w:rFonts w:ascii="宋体" w:hAnsi="宋体" w:eastAsia="宋体" w:cs="宋体"/>
                <w:sz w:val="18"/>
                <w:szCs w:val="18"/>
              </w:rPr>
            </w:pPr>
            <w:r>
              <w:rPr>
                <w:rFonts w:ascii="宋体" w:hAnsi="宋体" w:eastAsia="宋体" w:cs="宋体"/>
                <w:sz w:val="18"/>
                <w:szCs w:val="18"/>
              </w:rPr>
              <w:t>本报告期</w:t>
            </w:r>
          </w:p>
        </w:tc>
        <w:tc>
          <w:tcPr>
            <w:tcW w:w="1875" w:type="dxa"/>
            <w:shd w:val="clear" w:color="auto" w:fill="D3D3D3"/>
            <w:vAlign w:val="center"/>
          </w:tcPr>
          <w:p>
            <w:pPr>
              <w:spacing w:before="40" w:after="40" w:line="240" w:lineRule="exact"/>
              <w:jc w:val="center"/>
              <w:rPr>
                <w:rFonts w:ascii="宋体" w:hAnsi="宋体" w:eastAsia="宋体" w:cs="宋体"/>
                <w:sz w:val="18"/>
                <w:szCs w:val="18"/>
              </w:rPr>
            </w:pPr>
            <w:r>
              <w:rPr>
                <w:rFonts w:ascii="宋体" w:hAnsi="宋体" w:eastAsia="宋体" w:cs="宋体"/>
                <w:sz w:val="18"/>
                <w:szCs w:val="18"/>
              </w:rPr>
              <w:t>上年同期</w:t>
            </w:r>
          </w:p>
        </w:tc>
        <w:tc>
          <w:tcPr>
            <w:tcW w:w="2520" w:type="dxa"/>
            <w:shd w:val="clear" w:color="auto" w:fill="D3D3D3"/>
            <w:vAlign w:val="center"/>
          </w:tcPr>
          <w:p>
            <w:pPr>
              <w:spacing w:before="40" w:after="40" w:line="240" w:lineRule="exact"/>
              <w:jc w:val="center"/>
              <w:rPr>
                <w:rFonts w:ascii="宋体" w:hAnsi="宋体" w:eastAsia="宋体" w:cs="宋体"/>
                <w:sz w:val="18"/>
                <w:szCs w:val="18"/>
              </w:rPr>
            </w:pPr>
            <w:r>
              <w:rPr>
                <w:rFonts w:ascii="宋体" w:hAnsi="宋体" w:eastAsia="宋体" w:cs="宋体"/>
                <w:sz w:val="18"/>
                <w:szCs w:val="18"/>
              </w:rPr>
              <w:t>本报告期比上年同期增减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208" w:type="dxa"/>
            <w:shd w:val="clear" w:color="auto" w:fill="D3D3D3"/>
            <w:vAlign w:val="center"/>
          </w:tcPr>
          <w:p>
            <w:pPr>
              <w:spacing w:before="40" w:after="40" w:line="240" w:lineRule="exact"/>
              <w:jc w:val="left"/>
              <w:rPr>
                <w:rFonts w:ascii="宋体" w:hAnsi="宋体" w:eastAsia="宋体" w:cs="宋体"/>
                <w:sz w:val="18"/>
                <w:szCs w:val="18"/>
              </w:rPr>
            </w:pPr>
            <w:r>
              <w:rPr>
                <w:rFonts w:ascii="宋体" w:hAnsi="宋体" w:eastAsia="宋体" w:cs="宋体"/>
                <w:sz w:val="18"/>
                <w:szCs w:val="18"/>
              </w:rPr>
              <w:t>营业收入（元）</w:t>
            </w:r>
          </w:p>
        </w:tc>
        <w:tc>
          <w:tcPr>
            <w:tcW w:w="2037"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262,214,316.65</w:t>
            </w:r>
          </w:p>
        </w:tc>
        <w:tc>
          <w:tcPr>
            <w:tcW w:w="1875"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252,334,152.62</w:t>
            </w:r>
          </w:p>
        </w:tc>
        <w:tc>
          <w:tcPr>
            <w:tcW w:w="2520"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3.92%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208" w:type="dxa"/>
            <w:shd w:val="clear" w:color="auto" w:fill="D3D3D3"/>
            <w:vAlign w:val="center"/>
          </w:tcPr>
          <w:p>
            <w:pPr>
              <w:spacing w:before="40" w:after="40" w:line="240" w:lineRule="exact"/>
              <w:jc w:val="left"/>
              <w:rPr>
                <w:rFonts w:ascii="宋体" w:hAnsi="宋体" w:eastAsia="宋体" w:cs="宋体"/>
                <w:sz w:val="18"/>
                <w:szCs w:val="18"/>
              </w:rPr>
            </w:pPr>
            <w:r>
              <w:rPr>
                <w:rFonts w:ascii="宋体" w:hAnsi="宋体" w:eastAsia="宋体" w:cs="宋体"/>
                <w:sz w:val="18"/>
                <w:szCs w:val="18"/>
              </w:rPr>
              <w:t>归属于上市公司股东的净利润（元）</w:t>
            </w:r>
          </w:p>
        </w:tc>
        <w:tc>
          <w:tcPr>
            <w:tcW w:w="2037"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60,038,963.46</w:t>
            </w:r>
          </w:p>
        </w:tc>
        <w:tc>
          <w:tcPr>
            <w:tcW w:w="1875"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53,356,825.29</w:t>
            </w:r>
          </w:p>
        </w:tc>
        <w:tc>
          <w:tcPr>
            <w:tcW w:w="2520"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12.52%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208" w:type="dxa"/>
            <w:shd w:val="clear" w:color="auto" w:fill="D3D3D3"/>
            <w:vAlign w:val="center"/>
          </w:tcPr>
          <w:p>
            <w:pPr>
              <w:spacing w:before="40" w:after="40" w:line="240" w:lineRule="exact"/>
              <w:jc w:val="left"/>
              <w:rPr>
                <w:rFonts w:ascii="宋体" w:hAnsi="宋体" w:eastAsia="宋体" w:cs="宋体"/>
                <w:sz w:val="18"/>
                <w:szCs w:val="18"/>
              </w:rPr>
            </w:pPr>
            <w:r>
              <w:rPr>
                <w:rFonts w:ascii="宋体" w:hAnsi="宋体" w:eastAsia="宋体" w:cs="宋体"/>
                <w:sz w:val="18"/>
                <w:szCs w:val="18"/>
              </w:rPr>
              <w:t>归属于上市公司股东的扣除非经常性损益的净利润（元）</w:t>
            </w:r>
          </w:p>
        </w:tc>
        <w:tc>
          <w:tcPr>
            <w:tcW w:w="2037"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52,224,377.61</w:t>
            </w:r>
          </w:p>
        </w:tc>
        <w:tc>
          <w:tcPr>
            <w:tcW w:w="1875"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44,572,150.55</w:t>
            </w:r>
          </w:p>
        </w:tc>
        <w:tc>
          <w:tcPr>
            <w:tcW w:w="2520"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17.17%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208" w:type="dxa"/>
            <w:shd w:val="clear" w:color="auto" w:fill="D3D3D3"/>
            <w:vAlign w:val="center"/>
          </w:tcPr>
          <w:p>
            <w:pPr>
              <w:spacing w:before="40" w:after="40" w:line="240" w:lineRule="exact"/>
              <w:jc w:val="left"/>
              <w:rPr>
                <w:rFonts w:ascii="宋体" w:hAnsi="宋体" w:eastAsia="宋体" w:cs="宋体"/>
                <w:sz w:val="18"/>
                <w:szCs w:val="18"/>
              </w:rPr>
            </w:pPr>
            <w:r>
              <w:rPr>
                <w:rFonts w:ascii="宋体" w:hAnsi="宋体" w:eastAsia="宋体" w:cs="宋体"/>
                <w:sz w:val="18"/>
                <w:szCs w:val="18"/>
              </w:rPr>
              <w:t>经营活动产生的现金流量净额（元）</w:t>
            </w:r>
          </w:p>
        </w:tc>
        <w:tc>
          <w:tcPr>
            <w:tcW w:w="2037"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33,725,991.54</w:t>
            </w:r>
          </w:p>
        </w:tc>
        <w:tc>
          <w:tcPr>
            <w:tcW w:w="1875"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14,421,347.88</w:t>
            </w:r>
          </w:p>
        </w:tc>
        <w:tc>
          <w:tcPr>
            <w:tcW w:w="2520"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133.86%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208" w:type="dxa"/>
            <w:shd w:val="clear" w:color="auto" w:fill="D3D3D3"/>
            <w:vAlign w:val="center"/>
          </w:tcPr>
          <w:p>
            <w:pPr>
              <w:spacing w:before="40" w:after="40" w:line="240" w:lineRule="exact"/>
              <w:jc w:val="left"/>
              <w:rPr>
                <w:rFonts w:ascii="宋体" w:hAnsi="宋体" w:eastAsia="宋体" w:cs="宋体"/>
                <w:sz w:val="18"/>
                <w:szCs w:val="18"/>
              </w:rPr>
            </w:pPr>
            <w:r>
              <w:rPr>
                <w:rFonts w:ascii="宋体" w:hAnsi="宋体" w:eastAsia="宋体" w:cs="宋体"/>
                <w:sz w:val="18"/>
                <w:szCs w:val="18"/>
              </w:rPr>
              <w:t>基本每股收益（元/股）</w:t>
            </w:r>
          </w:p>
        </w:tc>
        <w:tc>
          <w:tcPr>
            <w:tcW w:w="2037"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0.31</w:t>
            </w:r>
          </w:p>
        </w:tc>
        <w:tc>
          <w:tcPr>
            <w:tcW w:w="1875"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0.27</w:t>
            </w:r>
          </w:p>
        </w:tc>
        <w:tc>
          <w:tcPr>
            <w:tcW w:w="2520"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14.81%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208" w:type="dxa"/>
            <w:shd w:val="clear" w:color="auto" w:fill="D3D3D3"/>
            <w:vAlign w:val="center"/>
          </w:tcPr>
          <w:p>
            <w:pPr>
              <w:spacing w:before="40" w:after="40" w:line="240" w:lineRule="exact"/>
              <w:jc w:val="left"/>
              <w:rPr>
                <w:rFonts w:ascii="宋体" w:hAnsi="宋体" w:eastAsia="宋体" w:cs="宋体"/>
                <w:sz w:val="18"/>
                <w:szCs w:val="18"/>
              </w:rPr>
            </w:pPr>
            <w:r>
              <w:rPr>
                <w:rFonts w:ascii="宋体" w:hAnsi="宋体" w:eastAsia="宋体" w:cs="宋体"/>
                <w:sz w:val="18"/>
                <w:szCs w:val="18"/>
              </w:rPr>
              <w:t>稀释每股收益（元/股）</w:t>
            </w:r>
          </w:p>
        </w:tc>
        <w:tc>
          <w:tcPr>
            <w:tcW w:w="2037"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0.31</w:t>
            </w:r>
          </w:p>
        </w:tc>
        <w:tc>
          <w:tcPr>
            <w:tcW w:w="1875"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0.27</w:t>
            </w:r>
          </w:p>
        </w:tc>
        <w:tc>
          <w:tcPr>
            <w:tcW w:w="2520"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14.81%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208" w:type="dxa"/>
            <w:shd w:val="clear" w:color="auto" w:fill="D3D3D3"/>
            <w:vAlign w:val="center"/>
          </w:tcPr>
          <w:p>
            <w:pPr>
              <w:spacing w:before="40" w:after="40" w:line="240" w:lineRule="exact"/>
              <w:jc w:val="left"/>
              <w:rPr>
                <w:rFonts w:ascii="宋体" w:hAnsi="宋体" w:eastAsia="宋体" w:cs="宋体"/>
                <w:sz w:val="18"/>
                <w:szCs w:val="18"/>
              </w:rPr>
            </w:pPr>
            <w:r>
              <w:rPr>
                <w:rFonts w:ascii="宋体" w:hAnsi="宋体" w:eastAsia="宋体" w:cs="宋体"/>
                <w:sz w:val="18"/>
                <w:szCs w:val="18"/>
              </w:rPr>
              <w:t>加权平均净资产收益率</w:t>
            </w:r>
          </w:p>
        </w:tc>
        <w:tc>
          <w:tcPr>
            <w:tcW w:w="2037"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6.02%</w:t>
            </w:r>
          </w:p>
        </w:tc>
        <w:tc>
          <w:tcPr>
            <w:tcW w:w="1875"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5.65%</w:t>
            </w:r>
          </w:p>
        </w:tc>
        <w:tc>
          <w:tcPr>
            <w:tcW w:w="2520"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0.37%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208" w:type="dxa"/>
            <w:shd w:val="clear" w:color="auto" w:fill="D3D3D3"/>
            <w:vAlign w:val="center"/>
          </w:tcPr>
          <w:p/>
        </w:tc>
        <w:tc>
          <w:tcPr>
            <w:tcW w:w="2037" w:type="dxa"/>
            <w:shd w:val="clear" w:color="auto" w:fill="D3D3D3"/>
            <w:vAlign w:val="center"/>
          </w:tcPr>
          <w:p>
            <w:pPr>
              <w:spacing w:before="40" w:after="40" w:line="240" w:lineRule="exact"/>
              <w:jc w:val="center"/>
              <w:rPr>
                <w:rFonts w:ascii="宋体" w:hAnsi="宋体" w:eastAsia="宋体" w:cs="宋体"/>
                <w:sz w:val="18"/>
                <w:szCs w:val="18"/>
              </w:rPr>
            </w:pPr>
            <w:r>
              <w:rPr>
                <w:rFonts w:ascii="宋体" w:hAnsi="宋体" w:eastAsia="宋体" w:cs="宋体"/>
                <w:sz w:val="18"/>
                <w:szCs w:val="18"/>
              </w:rPr>
              <w:t>本报告期末</w:t>
            </w:r>
          </w:p>
        </w:tc>
        <w:tc>
          <w:tcPr>
            <w:tcW w:w="1875" w:type="dxa"/>
            <w:shd w:val="clear" w:color="auto" w:fill="D3D3D3"/>
            <w:vAlign w:val="center"/>
          </w:tcPr>
          <w:p>
            <w:pPr>
              <w:spacing w:before="40" w:after="40" w:line="240" w:lineRule="exact"/>
              <w:jc w:val="center"/>
              <w:rPr>
                <w:rFonts w:ascii="宋体" w:hAnsi="宋体" w:eastAsia="宋体" w:cs="宋体"/>
                <w:sz w:val="18"/>
                <w:szCs w:val="18"/>
              </w:rPr>
            </w:pPr>
            <w:r>
              <w:rPr>
                <w:rFonts w:ascii="宋体" w:hAnsi="宋体" w:eastAsia="宋体" w:cs="宋体"/>
                <w:sz w:val="18"/>
                <w:szCs w:val="18"/>
              </w:rPr>
              <w:t>上年度末</w:t>
            </w:r>
          </w:p>
        </w:tc>
        <w:tc>
          <w:tcPr>
            <w:tcW w:w="2520" w:type="dxa"/>
            <w:shd w:val="clear" w:color="auto" w:fill="D3D3D3"/>
            <w:vAlign w:val="center"/>
          </w:tcPr>
          <w:p>
            <w:pPr>
              <w:spacing w:before="40" w:after="40" w:line="240" w:lineRule="exact"/>
              <w:jc w:val="center"/>
              <w:rPr>
                <w:rFonts w:ascii="宋体" w:hAnsi="宋体" w:eastAsia="宋体" w:cs="宋体"/>
                <w:sz w:val="18"/>
                <w:szCs w:val="18"/>
              </w:rPr>
            </w:pPr>
            <w:r>
              <w:rPr>
                <w:rFonts w:ascii="宋体" w:hAnsi="宋体" w:eastAsia="宋体" w:cs="宋体"/>
                <w:sz w:val="18"/>
                <w:szCs w:val="18"/>
              </w:rPr>
              <w:t>本报告期末比上年度末增减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208" w:type="dxa"/>
            <w:shd w:val="clear" w:color="auto" w:fill="D3D3D3"/>
            <w:vAlign w:val="center"/>
          </w:tcPr>
          <w:p>
            <w:pPr>
              <w:spacing w:before="40" w:after="40" w:line="240" w:lineRule="exact"/>
              <w:jc w:val="left"/>
              <w:rPr>
                <w:rFonts w:ascii="宋体" w:hAnsi="宋体" w:eastAsia="宋体" w:cs="宋体"/>
                <w:sz w:val="18"/>
                <w:szCs w:val="18"/>
              </w:rPr>
            </w:pPr>
            <w:r>
              <w:rPr>
                <w:rFonts w:ascii="宋体" w:hAnsi="宋体" w:eastAsia="宋体" w:cs="宋体"/>
                <w:sz w:val="18"/>
                <w:szCs w:val="18"/>
              </w:rPr>
              <w:t>总资产（元）</w:t>
            </w:r>
          </w:p>
        </w:tc>
        <w:tc>
          <w:tcPr>
            <w:tcW w:w="2037"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1,062,119,643.16</w:t>
            </w:r>
          </w:p>
        </w:tc>
        <w:tc>
          <w:tcPr>
            <w:tcW w:w="1875"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1,074,440,453.60</w:t>
            </w:r>
          </w:p>
        </w:tc>
        <w:tc>
          <w:tcPr>
            <w:tcW w:w="2520"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208" w:type="dxa"/>
            <w:shd w:val="clear" w:color="auto" w:fill="D3D3D3"/>
            <w:vAlign w:val="center"/>
          </w:tcPr>
          <w:p>
            <w:pPr>
              <w:spacing w:before="40" w:after="40" w:line="240" w:lineRule="exact"/>
              <w:jc w:val="left"/>
              <w:rPr>
                <w:rFonts w:ascii="宋体" w:hAnsi="宋体" w:eastAsia="宋体" w:cs="宋体"/>
                <w:sz w:val="18"/>
                <w:szCs w:val="18"/>
              </w:rPr>
            </w:pPr>
            <w:r>
              <w:rPr>
                <w:rFonts w:ascii="宋体" w:hAnsi="宋体" w:eastAsia="宋体" w:cs="宋体"/>
                <w:sz w:val="18"/>
                <w:szCs w:val="18"/>
              </w:rPr>
              <w:t>归属于上市公司股东的净资产（元）</w:t>
            </w:r>
          </w:p>
        </w:tc>
        <w:tc>
          <w:tcPr>
            <w:tcW w:w="2037"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989,986,918.72</w:t>
            </w:r>
          </w:p>
        </w:tc>
        <w:tc>
          <w:tcPr>
            <w:tcW w:w="1875"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974,634,181.91</w:t>
            </w:r>
          </w:p>
        </w:tc>
        <w:tc>
          <w:tcPr>
            <w:tcW w:w="2520"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1.58%</w:t>
            </w:r>
          </w:p>
        </w:tc>
      </w:tr>
    </w:tbl>
    <w:p>
      <w:pPr>
        <w:keepNext/>
        <w:keepLines/>
        <w:spacing w:before="300" w:after="300" w:line="280" w:lineRule="exact"/>
        <w:jc w:val="left"/>
        <w:outlineLvl w:val="2"/>
        <w:rPr>
          <w:rFonts w:ascii="宋体" w:hAnsi="宋体" w:eastAsia="宋体" w:cs="宋体"/>
          <w:b/>
          <w:bCs/>
          <w:sz w:val="21"/>
          <w:szCs w:val="21"/>
        </w:rPr>
      </w:pPr>
      <w:bookmarkStart w:id="4" w:name="_Toc988893"/>
      <w:r>
        <w:rPr>
          <w:rFonts w:ascii="宋体" w:hAnsi="宋体" w:eastAsia="宋体" w:cs="宋体"/>
          <w:b/>
          <w:bCs/>
          <w:sz w:val="21"/>
          <w:szCs w:val="21"/>
        </w:rPr>
        <w:t>3、公司股东数量及持股情况</w:t>
      </w:r>
      <w:bookmarkEnd w:id="4"/>
    </w:p>
    <w:p>
      <w:pPr>
        <w:spacing w:before="120" w:after="120" w:line="240" w:lineRule="exact"/>
        <w:jc w:val="right"/>
        <w:rPr>
          <w:rFonts w:ascii="宋体" w:hAnsi="宋体" w:eastAsia="宋体" w:cs="宋体"/>
          <w:sz w:val="18"/>
          <w:szCs w:val="18"/>
        </w:rPr>
      </w:pPr>
      <w:r>
        <w:rPr>
          <w:rFonts w:ascii="宋体" w:hAnsi="宋体" w:eastAsia="宋体" w:cs="宋体"/>
          <w:sz w:val="18"/>
          <w:szCs w:val="18"/>
        </w:rPr>
        <w:t>单位：股</w:t>
      </w:r>
    </w:p>
    <w:tbl>
      <w:tblPr>
        <w:tblStyle w:val="3"/>
        <w:tblW w:w="96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70"/>
        <w:gridCol w:w="125"/>
        <w:gridCol w:w="150"/>
        <w:gridCol w:w="1525"/>
        <w:gridCol w:w="314"/>
        <w:gridCol w:w="724"/>
        <w:gridCol w:w="1287"/>
        <w:gridCol w:w="1313"/>
        <w:gridCol w:w="1150"/>
        <w:gridCol w:w="8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2295" w:type="dxa"/>
            <w:gridSpan w:val="2"/>
            <w:shd w:val="clear" w:color="auto" w:fill="D3D3D3"/>
            <w:vAlign w:val="center"/>
          </w:tcPr>
          <w:p>
            <w:pPr>
              <w:spacing w:before="40" w:after="40" w:line="240" w:lineRule="exact"/>
              <w:jc w:val="left"/>
              <w:rPr>
                <w:rFonts w:ascii="宋体" w:hAnsi="宋体" w:eastAsia="宋体" w:cs="宋体"/>
                <w:sz w:val="18"/>
                <w:szCs w:val="18"/>
              </w:rPr>
            </w:pPr>
            <w:r>
              <w:rPr>
                <w:rFonts w:ascii="宋体" w:hAnsi="宋体" w:eastAsia="宋体" w:cs="宋体"/>
                <w:sz w:val="18"/>
                <w:szCs w:val="18"/>
              </w:rPr>
              <w:t>报告期末普通股股东总数</w:t>
            </w:r>
          </w:p>
        </w:tc>
        <w:tc>
          <w:tcPr>
            <w:tcW w:w="1989" w:type="dxa"/>
            <w:gridSpan w:val="3"/>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15,197</w:t>
            </w:r>
          </w:p>
        </w:tc>
        <w:tc>
          <w:tcPr>
            <w:tcW w:w="3324" w:type="dxa"/>
            <w:gridSpan w:val="3"/>
            <w:shd w:val="clear" w:color="auto" w:fill="D3D3D3"/>
            <w:vAlign w:val="center"/>
          </w:tcPr>
          <w:p>
            <w:pPr>
              <w:spacing w:before="40" w:after="40" w:line="240" w:lineRule="exact"/>
              <w:jc w:val="left"/>
              <w:rPr>
                <w:rFonts w:ascii="宋体" w:hAnsi="宋体" w:eastAsia="宋体" w:cs="宋体"/>
                <w:sz w:val="18"/>
                <w:szCs w:val="18"/>
              </w:rPr>
            </w:pPr>
            <w:r>
              <w:rPr>
                <w:rFonts w:ascii="宋体" w:hAnsi="宋体" w:eastAsia="宋体" w:cs="宋体"/>
                <w:sz w:val="18"/>
                <w:szCs w:val="18"/>
              </w:rPr>
              <w:t>报告期末表决权恢复的优先股股东总数（如有）</w:t>
            </w:r>
          </w:p>
        </w:tc>
        <w:tc>
          <w:tcPr>
            <w:tcW w:w="2031" w:type="dxa"/>
            <w:gridSpan w:val="2"/>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639" w:type="dxa"/>
            <w:gridSpan w:val="10"/>
            <w:shd w:val="clear" w:color="auto" w:fill="D3D3D3"/>
            <w:vAlign w:val="center"/>
          </w:tcPr>
          <w:p>
            <w:pPr>
              <w:spacing w:before="40" w:after="40" w:line="240" w:lineRule="exact"/>
              <w:jc w:val="center"/>
              <w:rPr>
                <w:rFonts w:ascii="宋体" w:hAnsi="宋体" w:eastAsia="宋体" w:cs="宋体"/>
                <w:sz w:val="18"/>
                <w:szCs w:val="18"/>
              </w:rPr>
            </w:pPr>
            <w:r>
              <w:rPr>
                <w:rFonts w:ascii="宋体" w:hAnsi="宋体" w:eastAsia="宋体" w:cs="宋体"/>
                <w:sz w:val="18"/>
                <w:szCs w:val="18"/>
              </w:rPr>
              <w:t>前10名股东持股情况（不含通过转融通出借股份）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2445" w:type="dxa"/>
            <w:gridSpan w:val="3"/>
            <w:vMerge w:val="restart"/>
            <w:shd w:val="clear" w:color="auto" w:fill="D3D3D3"/>
            <w:vAlign w:val="center"/>
          </w:tcPr>
          <w:p>
            <w:pPr>
              <w:spacing w:before="40" w:after="40" w:line="240" w:lineRule="exact"/>
              <w:jc w:val="center"/>
              <w:rPr>
                <w:rFonts w:ascii="宋体" w:hAnsi="宋体" w:eastAsia="宋体" w:cs="宋体"/>
                <w:sz w:val="18"/>
                <w:szCs w:val="18"/>
              </w:rPr>
            </w:pPr>
            <w:r>
              <w:rPr>
                <w:rFonts w:ascii="宋体" w:hAnsi="宋体" w:eastAsia="宋体" w:cs="宋体"/>
                <w:sz w:val="18"/>
                <w:szCs w:val="18"/>
              </w:rPr>
              <w:t>股东名称</w:t>
            </w:r>
          </w:p>
        </w:tc>
        <w:tc>
          <w:tcPr>
            <w:tcW w:w="1525" w:type="dxa"/>
            <w:vMerge w:val="restart"/>
            <w:shd w:val="clear" w:color="auto" w:fill="D3D3D3"/>
            <w:vAlign w:val="center"/>
          </w:tcPr>
          <w:p>
            <w:pPr>
              <w:spacing w:before="40" w:after="40" w:line="240" w:lineRule="exact"/>
              <w:jc w:val="center"/>
              <w:rPr>
                <w:rFonts w:ascii="宋体" w:hAnsi="宋体" w:eastAsia="宋体" w:cs="宋体"/>
                <w:sz w:val="18"/>
                <w:szCs w:val="18"/>
              </w:rPr>
            </w:pPr>
            <w:r>
              <w:rPr>
                <w:rFonts w:ascii="宋体" w:hAnsi="宋体" w:eastAsia="宋体" w:cs="宋体"/>
                <w:sz w:val="18"/>
                <w:szCs w:val="18"/>
              </w:rPr>
              <w:t>股东性质</w:t>
            </w:r>
          </w:p>
        </w:tc>
        <w:tc>
          <w:tcPr>
            <w:tcW w:w="1038" w:type="dxa"/>
            <w:gridSpan w:val="2"/>
            <w:vMerge w:val="restart"/>
            <w:shd w:val="clear" w:color="auto" w:fill="D3D3D3"/>
            <w:vAlign w:val="center"/>
          </w:tcPr>
          <w:p>
            <w:pPr>
              <w:spacing w:before="40" w:after="40" w:line="240" w:lineRule="exact"/>
              <w:jc w:val="center"/>
              <w:rPr>
                <w:rFonts w:ascii="宋体" w:hAnsi="宋体" w:eastAsia="宋体" w:cs="宋体"/>
                <w:sz w:val="18"/>
                <w:szCs w:val="18"/>
              </w:rPr>
            </w:pPr>
            <w:r>
              <w:rPr>
                <w:rFonts w:ascii="宋体" w:hAnsi="宋体" w:eastAsia="宋体" w:cs="宋体"/>
                <w:sz w:val="18"/>
                <w:szCs w:val="18"/>
              </w:rPr>
              <w:t>持股比例</w:t>
            </w:r>
          </w:p>
        </w:tc>
        <w:tc>
          <w:tcPr>
            <w:tcW w:w="1287" w:type="dxa"/>
            <w:vMerge w:val="restart"/>
            <w:shd w:val="clear" w:color="auto" w:fill="D3D3D3"/>
            <w:vAlign w:val="center"/>
          </w:tcPr>
          <w:p>
            <w:pPr>
              <w:spacing w:before="40" w:after="40" w:line="240" w:lineRule="exact"/>
              <w:jc w:val="center"/>
              <w:rPr>
                <w:rFonts w:ascii="宋体" w:hAnsi="宋体" w:eastAsia="宋体" w:cs="宋体"/>
                <w:sz w:val="18"/>
                <w:szCs w:val="18"/>
              </w:rPr>
            </w:pPr>
            <w:r>
              <w:rPr>
                <w:rFonts w:ascii="宋体" w:hAnsi="宋体" w:eastAsia="宋体" w:cs="宋体"/>
                <w:sz w:val="18"/>
                <w:szCs w:val="18"/>
              </w:rPr>
              <w:t>持股数量</w:t>
            </w:r>
          </w:p>
        </w:tc>
        <w:tc>
          <w:tcPr>
            <w:tcW w:w="1313" w:type="dxa"/>
            <w:vMerge w:val="restart"/>
            <w:shd w:val="clear" w:color="auto" w:fill="D3D3D3"/>
            <w:vAlign w:val="center"/>
          </w:tcPr>
          <w:p>
            <w:pPr>
              <w:spacing w:before="40" w:after="40" w:line="240" w:lineRule="exact"/>
              <w:jc w:val="center"/>
              <w:rPr>
                <w:rFonts w:ascii="宋体" w:hAnsi="宋体" w:eastAsia="宋体" w:cs="宋体"/>
                <w:sz w:val="18"/>
                <w:szCs w:val="18"/>
              </w:rPr>
            </w:pPr>
            <w:r>
              <w:rPr>
                <w:rFonts w:ascii="宋体" w:hAnsi="宋体" w:eastAsia="宋体" w:cs="宋体"/>
                <w:sz w:val="18"/>
                <w:szCs w:val="18"/>
              </w:rPr>
              <w:t>持有有限售条件的股份数量</w:t>
            </w:r>
          </w:p>
        </w:tc>
        <w:tc>
          <w:tcPr>
            <w:tcW w:w="2031" w:type="dxa"/>
            <w:gridSpan w:val="2"/>
            <w:shd w:val="clear" w:color="auto" w:fill="D3D3D3"/>
            <w:vAlign w:val="center"/>
          </w:tcPr>
          <w:p>
            <w:pPr>
              <w:spacing w:before="40" w:after="40" w:line="240" w:lineRule="exact"/>
              <w:jc w:val="center"/>
              <w:rPr>
                <w:rFonts w:ascii="宋体" w:hAnsi="宋体" w:eastAsia="宋体" w:cs="宋体"/>
                <w:sz w:val="18"/>
                <w:szCs w:val="18"/>
              </w:rPr>
            </w:pPr>
            <w:r>
              <w:rPr>
                <w:rFonts w:ascii="宋体" w:hAnsi="宋体" w:eastAsia="宋体" w:cs="宋体"/>
                <w:sz w:val="18"/>
                <w:szCs w:val="18"/>
              </w:rPr>
              <w:t>质押、标记或冻结情况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2445" w:type="dxa"/>
            <w:gridSpan w:val="3"/>
            <w:vMerge w:val="continue"/>
            <w:shd w:val="clear" w:color="auto" w:fill="D3D3D3"/>
            <w:vAlign w:val="center"/>
          </w:tcPr>
          <w:p/>
        </w:tc>
        <w:tc>
          <w:tcPr>
            <w:tcW w:w="1525" w:type="dxa"/>
            <w:vMerge w:val="continue"/>
            <w:shd w:val="clear" w:color="auto" w:fill="D3D3D3"/>
            <w:vAlign w:val="center"/>
          </w:tcPr>
          <w:p/>
        </w:tc>
        <w:tc>
          <w:tcPr>
            <w:tcW w:w="1038" w:type="dxa"/>
            <w:gridSpan w:val="2"/>
            <w:vMerge w:val="continue"/>
            <w:shd w:val="clear" w:color="auto" w:fill="D3D3D3"/>
            <w:vAlign w:val="center"/>
          </w:tcPr>
          <w:p/>
        </w:tc>
        <w:tc>
          <w:tcPr>
            <w:tcW w:w="1287" w:type="dxa"/>
            <w:vMerge w:val="continue"/>
            <w:shd w:val="clear" w:color="auto" w:fill="D3D3D3"/>
            <w:vAlign w:val="center"/>
          </w:tcPr>
          <w:p/>
        </w:tc>
        <w:tc>
          <w:tcPr>
            <w:tcW w:w="1313" w:type="dxa"/>
            <w:vMerge w:val="continue"/>
            <w:shd w:val="clear" w:color="auto" w:fill="D3D3D3"/>
            <w:vAlign w:val="center"/>
          </w:tcPr>
          <w:p/>
        </w:tc>
        <w:tc>
          <w:tcPr>
            <w:tcW w:w="1150" w:type="dxa"/>
            <w:shd w:val="clear" w:color="auto" w:fill="D3D3D3"/>
            <w:vAlign w:val="center"/>
          </w:tcPr>
          <w:p>
            <w:pPr>
              <w:spacing w:before="40" w:after="40" w:line="240" w:lineRule="exact"/>
              <w:jc w:val="center"/>
              <w:rPr>
                <w:rFonts w:ascii="宋体" w:hAnsi="宋体" w:eastAsia="宋体" w:cs="宋体"/>
                <w:sz w:val="18"/>
                <w:szCs w:val="18"/>
              </w:rPr>
            </w:pPr>
            <w:r>
              <w:rPr>
                <w:rFonts w:ascii="宋体" w:hAnsi="宋体" w:eastAsia="宋体" w:cs="宋体"/>
                <w:sz w:val="18"/>
                <w:szCs w:val="18"/>
              </w:rPr>
              <w:t>股份状态</w:t>
            </w:r>
          </w:p>
        </w:tc>
        <w:tc>
          <w:tcPr>
            <w:tcW w:w="881" w:type="dxa"/>
            <w:shd w:val="clear" w:color="auto" w:fill="D3D3D3"/>
            <w:vAlign w:val="center"/>
          </w:tcPr>
          <w:p>
            <w:pPr>
              <w:spacing w:before="40" w:after="40" w:line="240" w:lineRule="exact"/>
              <w:jc w:val="center"/>
              <w:rPr>
                <w:rFonts w:ascii="宋体" w:hAnsi="宋体" w:eastAsia="宋体" w:cs="宋体"/>
                <w:sz w:val="18"/>
                <w:szCs w:val="18"/>
              </w:rPr>
            </w:pPr>
            <w:r>
              <w:rPr>
                <w:rFonts w:ascii="宋体" w:hAnsi="宋体" w:eastAsia="宋体" w:cs="宋体"/>
                <w:sz w:val="18"/>
                <w:szCs w:val="18"/>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2445" w:type="dxa"/>
            <w:gridSpan w:val="3"/>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青岛华通国有资本投资运营集团有限公司</w:t>
            </w:r>
          </w:p>
        </w:tc>
        <w:tc>
          <w:tcPr>
            <w:tcW w:w="1525" w:type="dxa"/>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国有法人</w:t>
            </w:r>
          </w:p>
        </w:tc>
        <w:tc>
          <w:tcPr>
            <w:tcW w:w="1038" w:type="dxa"/>
            <w:gridSpan w:val="2"/>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46.74%</w:t>
            </w:r>
          </w:p>
        </w:tc>
        <w:tc>
          <w:tcPr>
            <w:tcW w:w="1287"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91,134,905</w:t>
            </w:r>
          </w:p>
        </w:tc>
        <w:tc>
          <w:tcPr>
            <w:tcW w:w="13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91,134,905</w:t>
            </w:r>
          </w:p>
        </w:tc>
        <w:tc>
          <w:tcPr>
            <w:tcW w:w="1150" w:type="dxa"/>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不适用</w:t>
            </w:r>
          </w:p>
        </w:tc>
        <w:tc>
          <w:tcPr>
            <w:tcW w:w="881"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2445" w:type="dxa"/>
            <w:gridSpan w:val="3"/>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青岛食品股份有限公司未确权股份托管专用证券账户</w:t>
            </w:r>
          </w:p>
        </w:tc>
        <w:tc>
          <w:tcPr>
            <w:tcW w:w="1525" w:type="dxa"/>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境内非国有法人</w:t>
            </w:r>
          </w:p>
        </w:tc>
        <w:tc>
          <w:tcPr>
            <w:tcW w:w="1038" w:type="dxa"/>
            <w:gridSpan w:val="2"/>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2.65%</w:t>
            </w:r>
          </w:p>
        </w:tc>
        <w:tc>
          <w:tcPr>
            <w:tcW w:w="1287"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5,159,247</w:t>
            </w:r>
          </w:p>
        </w:tc>
        <w:tc>
          <w:tcPr>
            <w:tcW w:w="13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5,159,247</w:t>
            </w:r>
          </w:p>
        </w:tc>
        <w:tc>
          <w:tcPr>
            <w:tcW w:w="1150" w:type="dxa"/>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不适用</w:t>
            </w:r>
          </w:p>
        </w:tc>
        <w:tc>
          <w:tcPr>
            <w:tcW w:w="881"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2445" w:type="dxa"/>
            <w:gridSpan w:val="3"/>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冯建霖</w:t>
            </w:r>
          </w:p>
        </w:tc>
        <w:tc>
          <w:tcPr>
            <w:tcW w:w="1525" w:type="dxa"/>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境内自然人</w:t>
            </w:r>
          </w:p>
        </w:tc>
        <w:tc>
          <w:tcPr>
            <w:tcW w:w="1038" w:type="dxa"/>
            <w:gridSpan w:val="2"/>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1.56%</w:t>
            </w:r>
          </w:p>
        </w:tc>
        <w:tc>
          <w:tcPr>
            <w:tcW w:w="1287"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3,038,509</w:t>
            </w:r>
          </w:p>
        </w:tc>
        <w:tc>
          <w:tcPr>
            <w:tcW w:w="13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c>
          <w:tcPr>
            <w:tcW w:w="1150" w:type="dxa"/>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不适用</w:t>
            </w:r>
          </w:p>
        </w:tc>
        <w:tc>
          <w:tcPr>
            <w:tcW w:w="881"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2445" w:type="dxa"/>
            <w:gridSpan w:val="3"/>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深圳市核子基因科技有限公司</w:t>
            </w:r>
          </w:p>
        </w:tc>
        <w:tc>
          <w:tcPr>
            <w:tcW w:w="1525" w:type="dxa"/>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境内非国有法人</w:t>
            </w:r>
          </w:p>
        </w:tc>
        <w:tc>
          <w:tcPr>
            <w:tcW w:w="1038" w:type="dxa"/>
            <w:gridSpan w:val="2"/>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1.41%</w:t>
            </w:r>
          </w:p>
        </w:tc>
        <w:tc>
          <w:tcPr>
            <w:tcW w:w="1287"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2,749,856</w:t>
            </w:r>
          </w:p>
        </w:tc>
        <w:tc>
          <w:tcPr>
            <w:tcW w:w="13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c>
          <w:tcPr>
            <w:tcW w:w="1150" w:type="dxa"/>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不适用</w:t>
            </w:r>
          </w:p>
        </w:tc>
        <w:tc>
          <w:tcPr>
            <w:tcW w:w="881"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2445" w:type="dxa"/>
            <w:gridSpan w:val="3"/>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陈芳</w:t>
            </w:r>
          </w:p>
        </w:tc>
        <w:tc>
          <w:tcPr>
            <w:tcW w:w="1525" w:type="dxa"/>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境内自然人</w:t>
            </w:r>
          </w:p>
        </w:tc>
        <w:tc>
          <w:tcPr>
            <w:tcW w:w="1038" w:type="dxa"/>
            <w:gridSpan w:val="2"/>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1.06%</w:t>
            </w:r>
          </w:p>
        </w:tc>
        <w:tc>
          <w:tcPr>
            <w:tcW w:w="1287"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2,060,915</w:t>
            </w:r>
          </w:p>
        </w:tc>
        <w:tc>
          <w:tcPr>
            <w:tcW w:w="13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c>
          <w:tcPr>
            <w:tcW w:w="1150" w:type="dxa"/>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不适用</w:t>
            </w:r>
          </w:p>
        </w:tc>
        <w:tc>
          <w:tcPr>
            <w:tcW w:w="881"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2445" w:type="dxa"/>
            <w:gridSpan w:val="3"/>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王莉</w:t>
            </w:r>
          </w:p>
        </w:tc>
        <w:tc>
          <w:tcPr>
            <w:tcW w:w="1525" w:type="dxa"/>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境内自然人</w:t>
            </w:r>
          </w:p>
        </w:tc>
        <w:tc>
          <w:tcPr>
            <w:tcW w:w="1038" w:type="dxa"/>
            <w:gridSpan w:val="2"/>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0.90%</w:t>
            </w:r>
          </w:p>
        </w:tc>
        <w:tc>
          <w:tcPr>
            <w:tcW w:w="1287"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1,750,672</w:t>
            </w:r>
          </w:p>
        </w:tc>
        <w:tc>
          <w:tcPr>
            <w:tcW w:w="13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c>
          <w:tcPr>
            <w:tcW w:w="1150" w:type="dxa"/>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不适用</w:t>
            </w:r>
          </w:p>
        </w:tc>
        <w:tc>
          <w:tcPr>
            <w:tcW w:w="881"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2445" w:type="dxa"/>
            <w:gridSpan w:val="3"/>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郑忻</w:t>
            </w:r>
          </w:p>
        </w:tc>
        <w:tc>
          <w:tcPr>
            <w:tcW w:w="1525" w:type="dxa"/>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境内自然人</w:t>
            </w:r>
          </w:p>
        </w:tc>
        <w:tc>
          <w:tcPr>
            <w:tcW w:w="1038" w:type="dxa"/>
            <w:gridSpan w:val="2"/>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0.55%</w:t>
            </w:r>
          </w:p>
        </w:tc>
        <w:tc>
          <w:tcPr>
            <w:tcW w:w="1287"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1,065,870</w:t>
            </w:r>
          </w:p>
        </w:tc>
        <w:tc>
          <w:tcPr>
            <w:tcW w:w="13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c>
          <w:tcPr>
            <w:tcW w:w="1150" w:type="dxa"/>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不适用</w:t>
            </w:r>
          </w:p>
        </w:tc>
        <w:tc>
          <w:tcPr>
            <w:tcW w:w="881"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2445" w:type="dxa"/>
            <w:gridSpan w:val="3"/>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青岛欧森海事技术服务有限公司</w:t>
            </w:r>
          </w:p>
        </w:tc>
        <w:tc>
          <w:tcPr>
            <w:tcW w:w="1525" w:type="dxa"/>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境内非国有法人</w:t>
            </w:r>
          </w:p>
        </w:tc>
        <w:tc>
          <w:tcPr>
            <w:tcW w:w="1038" w:type="dxa"/>
            <w:gridSpan w:val="2"/>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0.53%</w:t>
            </w:r>
          </w:p>
        </w:tc>
        <w:tc>
          <w:tcPr>
            <w:tcW w:w="1287"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1,028,885</w:t>
            </w:r>
          </w:p>
        </w:tc>
        <w:tc>
          <w:tcPr>
            <w:tcW w:w="13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c>
          <w:tcPr>
            <w:tcW w:w="1150" w:type="dxa"/>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质押</w:t>
            </w:r>
          </w:p>
        </w:tc>
        <w:tc>
          <w:tcPr>
            <w:tcW w:w="881"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773,500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2445" w:type="dxa"/>
            <w:gridSpan w:val="3"/>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刘志颖</w:t>
            </w:r>
          </w:p>
        </w:tc>
        <w:tc>
          <w:tcPr>
            <w:tcW w:w="1525" w:type="dxa"/>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境内自然人</w:t>
            </w:r>
          </w:p>
        </w:tc>
        <w:tc>
          <w:tcPr>
            <w:tcW w:w="1038" w:type="dxa"/>
            <w:gridSpan w:val="2"/>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0.51%</w:t>
            </w:r>
          </w:p>
        </w:tc>
        <w:tc>
          <w:tcPr>
            <w:tcW w:w="1287"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988,650</w:t>
            </w:r>
          </w:p>
        </w:tc>
        <w:tc>
          <w:tcPr>
            <w:tcW w:w="13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c>
          <w:tcPr>
            <w:tcW w:w="1150" w:type="dxa"/>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不适用</w:t>
            </w:r>
          </w:p>
        </w:tc>
        <w:tc>
          <w:tcPr>
            <w:tcW w:w="881"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2445" w:type="dxa"/>
            <w:gridSpan w:val="3"/>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刘竹轩</w:t>
            </w:r>
          </w:p>
        </w:tc>
        <w:tc>
          <w:tcPr>
            <w:tcW w:w="1525" w:type="dxa"/>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境内自然人</w:t>
            </w:r>
          </w:p>
        </w:tc>
        <w:tc>
          <w:tcPr>
            <w:tcW w:w="1038" w:type="dxa"/>
            <w:gridSpan w:val="2"/>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0.48%</w:t>
            </w:r>
          </w:p>
        </w:tc>
        <w:tc>
          <w:tcPr>
            <w:tcW w:w="1287"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935,944</w:t>
            </w:r>
          </w:p>
        </w:tc>
        <w:tc>
          <w:tcPr>
            <w:tcW w:w="1313"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c>
          <w:tcPr>
            <w:tcW w:w="1150" w:type="dxa"/>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不适用</w:t>
            </w:r>
          </w:p>
        </w:tc>
        <w:tc>
          <w:tcPr>
            <w:tcW w:w="881" w:type="dxa"/>
            <w:vAlign w:val="center"/>
          </w:tcPr>
          <w:p>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2170" w:type="dxa"/>
            <w:shd w:val="clear" w:color="auto" w:fill="D3D3D3"/>
            <w:vAlign w:val="center"/>
          </w:tcPr>
          <w:p>
            <w:pPr>
              <w:spacing w:before="40" w:after="40" w:line="240" w:lineRule="exact"/>
              <w:jc w:val="left"/>
              <w:rPr>
                <w:rFonts w:ascii="宋体" w:hAnsi="宋体" w:eastAsia="宋体" w:cs="宋体"/>
                <w:sz w:val="18"/>
                <w:szCs w:val="18"/>
              </w:rPr>
            </w:pPr>
            <w:r>
              <w:rPr>
                <w:rFonts w:ascii="宋体" w:hAnsi="宋体" w:eastAsia="宋体" w:cs="宋体"/>
                <w:sz w:val="18"/>
                <w:szCs w:val="18"/>
              </w:rPr>
              <w:t>上述股东关联关系或一致行动的说明</w:t>
            </w:r>
          </w:p>
        </w:tc>
        <w:tc>
          <w:tcPr>
            <w:tcW w:w="7469" w:type="dxa"/>
            <w:gridSpan w:val="9"/>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青岛华通国有资本投资运营集团有限公司系公司控股股东、实际控制人，持有公司46.74%的股份。除此之外，公司未知上述其他股东之间是否存在关联关系，是否属于一致行动人。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2170" w:type="dxa"/>
            <w:shd w:val="clear" w:color="auto" w:fill="D3D3D3"/>
            <w:vAlign w:val="center"/>
          </w:tcPr>
          <w:p>
            <w:pPr>
              <w:spacing w:before="40" w:after="40" w:line="240" w:lineRule="exact"/>
              <w:jc w:val="left"/>
              <w:rPr>
                <w:rFonts w:ascii="宋体" w:hAnsi="宋体" w:eastAsia="宋体" w:cs="宋体"/>
                <w:sz w:val="18"/>
                <w:szCs w:val="18"/>
              </w:rPr>
            </w:pPr>
            <w:r>
              <w:rPr>
                <w:rFonts w:ascii="宋体" w:hAnsi="宋体" w:eastAsia="宋体" w:cs="宋体"/>
                <w:sz w:val="18"/>
                <w:szCs w:val="18"/>
              </w:rPr>
              <w:t>参与融资融券业务股东情况说明（如有）</w:t>
            </w:r>
          </w:p>
        </w:tc>
        <w:tc>
          <w:tcPr>
            <w:tcW w:w="7469" w:type="dxa"/>
            <w:gridSpan w:val="9"/>
            <w:vAlign w:val="center"/>
          </w:tcPr>
          <w:p>
            <w:pPr>
              <w:spacing w:before="0" w:after="0" w:line="240" w:lineRule="exact"/>
              <w:jc w:val="left"/>
              <w:rPr>
                <w:rFonts w:ascii="宋体" w:hAnsi="宋体" w:eastAsia="宋体" w:cs="宋体"/>
                <w:sz w:val="18"/>
                <w:szCs w:val="18"/>
              </w:rPr>
            </w:pPr>
            <w:r>
              <w:rPr>
                <w:rFonts w:ascii="宋体" w:hAnsi="宋体" w:eastAsia="宋体" w:cs="宋体"/>
                <w:sz w:val="18"/>
                <w:szCs w:val="18"/>
              </w:rPr>
              <w:t>冯建霖通过信用交易担保证券账户持有3,038,509股；陈芳通过信用交易担保证券账户持有2,060,915股；郑忻通过信用交易担保证券账户持有1,065,870股；刘志颖通过信用交易担保证券账户持有988,650股。</w:t>
            </w:r>
          </w:p>
        </w:tc>
      </w:tr>
    </w:tbl>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持股5%以上股东、前10名股东及前10名无限售流通股股东参与转融通业务出借股份情况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 xml:space="preserve">□适用 </w:t>
      </w:r>
      <w:r>
        <w:rPr>
          <w:rFonts w:hint="eastAsia" w:ascii="宋体" w:hAnsi="宋体" w:eastAsia="宋体" w:cs="宋体"/>
          <w:sz w:val="21"/>
          <w:szCs w:val="21"/>
        </w:rPr>
        <w:sym w:font="Wingdings 2" w:char="F052"/>
      </w:r>
      <w:r>
        <w:rPr>
          <w:rFonts w:hint="eastAsia" w:ascii="宋体" w:hAnsi="宋体" w:eastAsia="宋体" w:cs="宋体"/>
          <w:sz w:val="21"/>
          <w:szCs w:val="21"/>
        </w:rPr>
        <w:t>不适用</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前10名股东及前10名无限售流通股股东因转融通出借/归还原因导致较上期发生变化</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 xml:space="preserve">□适用 </w:t>
      </w:r>
      <w:r>
        <w:rPr>
          <w:rFonts w:hint="eastAsia" w:ascii="宋体" w:hAnsi="宋体" w:eastAsia="宋体" w:cs="宋体"/>
          <w:sz w:val="21"/>
          <w:szCs w:val="21"/>
        </w:rPr>
        <w:sym w:font="Wingdings 2" w:char="F052"/>
      </w:r>
      <w:r>
        <w:rPr>
          <w:rFonts w:hint="eastAsia" w:ascii="宋体" w:hAnsi="宋体" w:eastAsia="宋体" w:cs="宋体"/>
          <w:sz w:val="21"/>
          <w:szCs w:val="21"/>
        </w:rPr>
        <w:t>不适用</w:t>
      </w:r>
    </w:p>
    <w:p>
      <w:pPr>
        <w:keepNext/>
        <w:keepLines/>
        <w:spacing w:before="300" w:after="300" w:line="280" w:lineRule="exact"/>
        <w:jc w:val="left"/>
        <w:outlineLvl w:val="2"/>
        <w:rPr>
          <w:rFonts w:ascii="宋体" w:hAnsi="宋体" w:eastAsia="宋体" w:cs="宋体"/>
          <w:b/>
          <w:bCs/>
          <w:sz w:val="21"/>
          <w:szCs w:val="21"/>
        </w:rPr>
      </w:pPr>
      <w:bookmarkStart w:id="5" w:name="_Toc988894"/>
      <w:r>
        <w:rPr>
          <w:rFonts w:ascii="宋体" w:hAnsi="宋体" w:eastAsia="宋体" w:cs="宋体"/>
          <w:b/>
          <w:bCs/>
          <w:sz w:val="21"/>
          <w:szCs w:val="21"/>
        </w:rPr>
        <w:t>4、控股股东或实际控制人变更情况</w:t>
      </w:r>
      <w:bookmarkEnd w:id="5"/>
    </w:p>
    <w:p>
      <w:pPr>
        <w:pStyle w:val="2"/>
        <w:keepNext w:val="0"/>
        <w:keepLines w:val="0"/>
        <w:widowControl/>
        <w:suppressLineNumbers w:val="0"/>
        <w:spacing w:before="0" w:beforeAutospacing="0" w:after="0" w:afterAutospacing="0"/>
        <w:ind w:left="0" w:right="0" w:firstLine="420" w:firstLineChars="200"/>
        <w:jc w:val="both"/>
        <w:rPr>
          <w:rFonts w:hint="eastAsia" w:ascii="宋体" w:hAnsi="宋体" w:eastAsia="宋体" w:cs="宋体"/>
          <w:sz w:val="21"/>
          <w:szCs w:val="21"/>
        </w:rPr>
      </w:pPr>
      <w:r>
        <w:rPr>
          <w:rFonts w:hint="eastAsia" w:ascii="宋体" w:hAnsi="宋体" w:eastAsia="宋体" w:cs="宋体"/>
          <w:sz w:val="21"/>
          <w:szCs w:val="21"/>
        </w:rPr>
        <w:t>控股股东报告期内变更</w:t>
      </w:r>
    </w:p>
    <w:p>
      <w:pPr>
        <w:pStyle w:val="2"/>
        <w:keepNext w:val="0"/>
        <w:keepLines w:val="0"/>
        <w:widowControl/>
        <w:suppressLineNumbers w:val="0"/>
        <w:spacing w:before="0" w:beforeAutospacing="0" w:after="0" w:afterAutospacing="0"/>
        <w:ind w:left="0" w:right="0" w:firstLine="420" w:firstLineChars="200"/>
        <w:jc w:val="both"/>
        <w:rPr>
          <w:rFonts w:hint="eastAsia" w:ascii="宋体" w:hAnsi="宋体" w:eastAsia="宋体" w:cs="宋体"/>
          <w:sz w:val="21"/>
          <w:szCs w:val="21"/>
        </w:rPr>
      </w:pPr>
      <w:r>
        <w:rPr>
          <w:rFonts w:hint="eastAsia" w:ascii="宋体" w:hAnsi="宋体" w:eastAsia="宋体" w:cs="宋体"/>
          <w:sz w:val="21"/>
          <w:szCs w:val="21"/>
        </w:rPr>
        <w:t xml:space="preserve">□适用 </w:t>
      </w:r>
      <w:r>
        <w:rPr>
          <w:rFonts w:hint="eastAsia" w:ascii="宋体" w:hAnsi="宋体" w:eastAsia="宋体" w:cs="宋体"/>
          <w:sz w:val="21"/>
          <w:szCs w:val="21"/>
        </w:rPr>
        <w:sym w:font="Wingdings 2" w:char="F052"/>
      </w:r>
      <w:r>
        <w:rPr>
          <w:rFonts w:hint="eastAsia" w:ascii="宋体" w:hAnsi="宋体" w:eastAsia="宋体" w:cs="宋体"/>
          <w:sz w:val="21"/>
          <w:szCs w:val="21"/>
        </w:rPr>
        <w:t>不适用</w:t>
      </w:r>
    </w:p>
    <w:p>
      <w:pPr>
        <w:pStyle w:val="2"/>
        <w:keepNext w:val="0"/>
        <w:keepLines w:val="0"/>
        <w:widowControl/>
        <w:suppressLineNumbers w:val="0"/>
        <w:spacing w:before="0" w:beforeAutospacing="0" w:after="0" w:afterAutospacing="0"/>
        <w:ind w:left="0" w:right="0" w:firstLine="420" w:firstLineChars="200"/>
        <w:jc w:val="both"/>
        <w:rPr>
          <w:rFonts w:hint="eastAsia" w:ascii="宋体" w:hAnsi="宋体" w:eastAsia="宋体" w:cs="宋体"/>
          <w:sz w:val="21"/>
          <w:szCs w:val="21"/>
        </w:rPr>
      </w:pPr>
      <w:r>
        <w:rPr>
          <w:rFonts w:hint="eastAsia" w:ascii="宋体" w:hAnsi="宋体" w:eastAsia="宋体" w:cs="宋体"/>
          <w:sz w:val="21"/>
          <w:szCs w:val="21"/>
        </w:rPr>
        <w:t>公司报告期控股股东未发生变更。</w:t>
      </w:r>
    </w:p>
    <w:p>
      <w:pPr>
        <w:pStyle w:val="2"/>
        <w:keepNext w:val="0"/>
        <w:keepLines w:val="0"/>
        <w:widowControl/>
        <w:suppressLineNumbers w:val="0"/>
        <w:spacing w:before="0" w:beforeAutospacing="0" w:after="0" w:afterAutospacing="0"/>
        <w:ind w:left="0" w:right="0" w:firstLine="420" w:firstLineChars="200"/>
        <w:jc w:val="both"/>
        <w:rPr>
          <w:rFonts w:hint="eastAsia" w:ascii="宋体" w:hAnsi="宋体" w:eastAsia="宋体" w:cs="宋体"/>
          <w:sz w:val="21"/>
          <w:szCs w:val="21"/>
        </w:rPr>
      </w:pPr>
      <w:r>
        <w:rPr>
          <w:rFonts w:hint="eastAsia" w:ascii="宋体" w:hAnsi="宋体" w:eastAsia="宋体" w:cs="宋体"/>
          <w:sz w:val="21"/>
          <w:szCs w:val="21"/>
        </w:rPr>
        <w:t>实际控制人报告期内变更</w:t>
      </w:r>
    </w:p>
    <w:p>
      <w:pPr>
        <w:pStyle w:val="2"/>
        <w:keepNext w:val="0"/>
        <w:keepLines w:val="0"/>
        <w:widowControl/>
        <w:suppressLineNumbers w:val="0"/>
        <w:spacing w:before="0" w:beforeAutospacing="0" w:after="0" w:afterAutospacing="0"/>
        <w:ind w:left="0" w:right="0" w:firstLine="420" w:firstLineChars="200"/>
        <w:jc w:val="both"/>
        <w:rPr>
          <w:rFonts w:hint="eastAsia" w:ascii="宋体" w:hAnsi="宋体" w:eastAsia="宋体" w:cs="宋体"/>
          <w:sz w:val="21"/>
          <w:szCs w:val="21"/>
        </w:rPr>
      </w:pPr>
      <w:r>
        <w:rPr>
          <w:rFonts w:hint="eastAsia" w:ascii="宋体" w:hAnsi="宋体" w:eastAsia="宋体" w:cs="宋体"/>
          <w:sz w:val="21"/>
          <w:szCs w:val="21"/>
        </w:rPr>
        <w:t xml:space="preserve">□适用 </w:t>
      </w:r>
      <w:r>
        <w:rPr>
          <w:rFonts w:hint="eastAsia" w:ascii="宋体" w:hAnsi="宋体" w:eastAsia="宋体" w:cs="宋体"/>
          <w:sz w:val="21"/>
          <w:szCs w:val="21"/>
        </w:rPr>
        <w:sym w:font="Wingdings 2" w:char="F052"/>
      </w:r>
      <w:r>
        <w:rPr>
          <w:rFonts w:hint="eastAsia" w:ascii="宋体" w:hAnsi="宋体" w:eastAsia="宋体" w:cs="宋体"/>
          <w:sz w:val="21"/>
          <w:szCs w:val="21"/>
        </w:rPr>
        <w:t>不适用</w:t>
      </w:r>
    </w:p>
    <w:p>
      <w:pPr>
        <w:pStyle w:val="2"/>
        <w:keepNext w:val="0"/>
        <w:keepLines w:val="0"/>
        <w:widowControl/>
        <w:suppressLineNumbers w:val="0"/>
        <w:spacing w:before="0" w:beforeAutospacing="0" w:after="0" w:afterAutospacing="0"/>
        <w:ind w:left="0" w:right="0" w:firstLine="420" w:firstLineChars="200"/>
        <w:jc w:val="both"/>
        <w:rPr>
          <w:rFonts w:hint="eastAsia" w:ascii="宋体" w:hAnsi="宋体" w:eastAsia="宋体" w:cs="宋体"/>
          <w:sz w:val="21"/>
          <w:szCs w:val="21"/>
        </w:rPr>
      </w:pPr>
      <w:r>
        <w:rPr>
          <w:rFonts w:hint="eastAsia" w:ascii="宋体" w:hAnsi="宋体" w:eastAsia="宋体" w:cs="宋体"/>
          <w:sz w:val="21"/>
          <w:szCs w:val="21"/>
        </w:rPr>
        <w:t>公司报告期实际控制人未发</w:t>
      </w:r>
      <w:bookmarkStart w:id="9" w:name="_GoBack"/>
      <w:bookmarkEnd w:id="9"/>
      <w:r>
        <w:rPr>
          <w:rFonts w:hint="eastAsia" w:ascii="宋体" w:hAnsi="宋体" w:eastAsia="宋体" w:cs="宋体"/>
          <w:sz w:val="21"/>
          <w:szCs w:val="21"/>
        </w:rPr>
        <w:t>生变更。</w:t>
      </w:r>
    </w:p>
    <w:p>
      <w:pPr>
        <w:keepNext/>
        <w:keepLines/>
        <w:spacing w:before="300" w:after="300" w:line="280" w:lineRule="exact"/>
        <w:jc w:val="left"/>
        <w:outlineLvl w:val="2"/>
        <w:rPr>
          <w:rFonts w:ascii="宋体" w:hAnsi="宋体" w:eastAsia="宋体" w:cs="宋体"/>
          <w:b/>
          <w:bCs/>
          <w:sz w:val="21"/>
          <w:szCs w:val="21"/>
        </w:rPr>
      </w:pPr>
      <w:bookmarkStart w:id="6" w:name="_Toc988895"/>
      <w:r>
        <w:rPr>
          <w:rFonts w:ascii="宋体" w:hAnsi="宋体" w:eastAsia="宋体" w:cs="宋体"/>
          <w:b/>
          <w:bCs/>
          <w:sz w:val="21"/>
          <w:szCs w:val="21"/>
        </w:rPr>
        <w:t>5、公司优先股股东总数及前10名优先股股东持股情况表</w:t>
      </w:r>
      <w:bookmarkEnd w:id="6"/>
    </w:p>
    <w:p>
      <w:pPr>
        <w:pStyle w:val="2"/>
        <w:keepNext w:val="0"/>
        <w:keepLines w:val="0"/>
        <w:widowControl/>
        <w:suppressLineNumbers w:val="0"/>
        <w:spacing w:before="0" w:beforeAutospacing="0" w:after="0" w:afterAutospacing="0"/>
        <w:ind w:left="0" w:right="0" w:firstLine="420" w:firstLineChars="200"/>
        <w:jc w:val="both"/>
        <w:rPr>
          <w:rFonts w:hint="eastAsia" w:ascii="宋体" w:hAnsi="宋体" w:eastAsia="宋体" w:cs="宋体"/>
          <w:sz w:val="21"/>
          <w:szCs w:val="21"/>
        </w:rPr>
      </w:pPr>
      <w:r>
        <w:rPr>
          <w:rFonts w:hint="eastAsia" w:ascii="宋体" w:hAnsi="宋体" w:eastAsia="宋体" w:cs="宋体"/>
          <w:sz w:val="21"/>
          <w:szCs w:val="21"/>
        </w:rPr>
        <w:t xml:space="preserve">□适用 </w:t>
      </w:r>
      <w:r>
        <w:rPr>
          <w:rFonts w:hint="eastAsia" w:ascii="宋体" w:hAnsi="宋体" w:eastAsia="宋体" w:cs="宋体"/>
          <w:sz w:val="21"/>
          <w:szCs w:val="21"/>
        </w:rPr>
        <w:sym w:font="Wingdings 2" w:char="F052"/>
      </w:r>
      <w:r>
        <w:rPr>
          <w:rFonts w:hint="eastAsia" w:ascii="宋体" w:hAnsi="宋体" w:eastAsia="宋体" w:cs="宋体"/>
          <w:sz w:val="21"/>
          <w:szCs w:val="21"/>
        </w:rPr>
        <w:t>不适用</w:t>
      </w:r>
    </w:p>
    <w:p>
      <w:pPr>
        <w:pStyle w:val="2"/>
        <w:keepNext w:val="0"/>
        <w:keepLines w:val="0"/>
        <w:widowControl/>
        <w:suppressLineNumbers w:val="0"/>
        <w:spacing w:before="0" w:beforeAutospacing="0" w:after="0" w:afterAutospacing="0"/>
        <w:ind w:left="0" w:right="0" w:firstLine="420" w:firstLineChars="200"/>
        <w:jc w:val="both"/>
        <w:rPr>
          <w:rFonts w:hint="eastAsia" w:ascii="宋体" w:hAnsi="宋体" w:eastAsia="宋体" w:cs="宋体"/>
          <w:sz w:val="21"/>
          <w:szCs w:val="21"/>
        </w:rPr>
      </w:pPr>
      <w:r>
        <w:rPr>
          <w:rFonts w:hint="eastAsia" w:ascii="宋体" w:hAnsi="宋体" w:eastAsia="宋体" w:cs="宋体"/>
          <w:sz w:val="21"/>
          <w:szCs w:val="21"/>
        </w:rPr>
        <w:t>公司报告期无优先股股东持股情况。</w:t>
      </w:r>
    </w:p>
    <w:p>
      <w:pPr>
        <w:keepNext/>
        <w:keepLines/>
        <w:spacing w:before="300" w:after="300" w:line="280" w:lineRule="exact"/>
        <w:jc w:val="left"/>
        <w:outlineLvl w:val="2"/>
        <w:rPr>
          <w:rFonts w:ascii="宋体" w:hAnsi="宋体" w:eastAsia="宋体" w:cs="宋体"/>
          <w:b/>
          <w:bCs/>
          <w:sz w:val="21"/>
          <w:szCs w:val="21"/>
        </w:rPr>
      </w:pPr>
      <w:bookmarkStart w:id="7" w:name="_Toc988896"/>
      <w:r>
        <w:rPr>
          <w:rFonts w:ascii="宋体" w:hAnsi="宋体" w:eastAsia="宋体" w:cs="宋体"/>
          <w:b/>
          <w:bCs/>
          <w:sz w:val="21"/>
          <w:szCs w:val="21"/>
        </w:rPr>
        <w:t>6、在半年度报告批准报出日存续的债券情况</w:t>
      </w:r>
      <w:bookmarkEnd w:id="7"/>
    </w:p>
    <w:p>
      <w:pPr>
        <w:pStyle w:val="2"/>
        <w:keepNext w:val="0"/>
        <w:keepLines w:val="0"/>
        <w:widowControl/>
        <w:suppressLineNumbers w:val="0"/>
        <w:spacing w:before="0" w:beforeAutospacing="0" w:after="0" w:afterAutospacing="0"/>
        <w:ind w:left="0" w:right="0" w:firstLine="420" w:firstLineChars="200"/>
        <w:jc w:val="both"/>
        <w:rPr>
          <w:rFonts w:hint="eastAsia" w:ascii="宋体" w:hAnsi="宋体" w:eastAsia="宋体" w:cs="宋体"/>
          <w:sz w:val="21"/>
          <w:szCs w:val="21"/>
        </w:rPr>
      </w:pPr>
      <w:r>
        <w:rPr>
          <w:rFonts w:hint="eastAsia" w:ascii="宋体" w:hAnsi="宋体" w:eastAsia="宋体" w:cs="宋体"/>
          <w:sz w:val="21"/>
          <w:szCs w:val="21"/>
        </w:rPr>
        <w:t xml:space="preserve">□适用 </w:t>
      </w:r>
      <w:r>
        <w:rPr>
          <w:rFonts w:hint="eastAsia" w:ascii="宋体" w:hAnsi="宋体" w:eastAsia="宋体" w:cs="宋体"/>
          <w:sz w:val="21"/>
          <w:szCs w:val="21"/>
        </w:rPr>
        <w:sym w:font="Wingdings 2" w:char="F052"/>
      </w:r>
      <w:r>
        <w:rPr>
          <w:rFonts w:hint="eastAsia" w:ascii="宋体" w:hAnsi="宋体" w:eastAsia="宋体" w:cs="宋体"/>
          <w:sz w:val="21"/>
          <w:szCs w:val="21"/>
        </w:rPr>
        <w:t>不适用</w:t>
      </w:r>
    </w:p>
    <w:p>
      <w:pPr>
        <w:keepNext/>
        <w:keepLines/>
        <w:spacing w:before="300" w:after="300" w:line="320" w:lineRule="exact"/>
        <w:jc w:val="left"/>
        <w:outlineLvl w:val="1"/>
        <w:rPr>
          <w:rFonts w:ascii="宋体" w:hAnsi="宋体" w:eastAsia="宋体" w:cs="宋体"/>
          <w:b/>
          <w:bCs/>
          <w:sz w:val="24"/>
          <w:szCs w:val="24"/>
        </w:rPr>
      </w:pPr>
      <w:bookmarkStart w:id="8" w:name="_Toc988897"/>
      <w:r>
        <w:rPr>
          <w:rFonts w:ascii="宋体" w:hAnsi="宋体" w:eastAsia="宋体" w:cs="宋体"/>
          <w:b/>
          <w:bCs/>
          <w:sz w:val="24"/>
          <w:szCs w:val="24"/>
        </w:rPr>
        <w:t>三、重要事项</w:t>
      </w:r>
      <w:bookmarkEnd w:id="8"/>
    </w:p>
    <w:p>
      <w:pPr>
        <w:pStyle w:val="2"/>
        <w:keepNext w:val="0"/>
        <w:keepLines w:val="0"/>
        <w:widowControl/>
        <w:suppressLineNumbers w:val="0"/>
        <w:spacing w:before="0" w:beforeAutospacing="0" w:after="0" w:afterAutospacing="0"/>
        <w:ind w:left="0" w:right="0" w:firstLine="420" w:firstLineChars="200"/>
        <w:jc w:val="both"/>
        <w:rPr>
          <w:rFonts w:hint="eastAsia" w:ascii="宋体" w:hAnsi="宋体" w:eastAsia="宋体" w:cs="宋体"/>
          <w:sz w:val="21"/>
          <w:szCs w:val="21"/>
        </w:rPr>
      </w:pPr>
      <w:r>
        <w:rPr>
          <w:rFonts w:hint="eastAsia" w:ascii="宋体" w:hAnsi="宋体" w:eastAsia="宋体" w:cs="宋体"/>
          <w:sz w:val="21"/>
          <w:szCs w:val="21"/>
        </w:rPr>
        <w:t>公司于2023年12月29日召开的第十届董事会第二次战略委员会、第十届董事会第二次独立董事专门会议，并于同日提交第十届董事会第十三次会议，审议通过了《关于公司拟参与公开摘牌收购华琨生物34%股权的议案》，以公开摘牌方式收购青岛旅投生态康养有限公司持有青岛华琨生物科技有限公司34%股权。2024年2月1日，公司与旅投康养签订了《关于青岛华琨生物科技有限公司的股权转让协议》，2024年2月5日，青岛产权交易所向公司出具《产权交易凭证》，2024年4月22日，完成工商变更登记。</w:t>
      </w:r>
    </w:p>
    <w:p>
      <w:pPr>
        <w:pStyle w:val="2"/>
        <w:keepNext w:val="0"/>
        <w:keepLines w:val="0"/>
        <w:widowControl/>
        <w:suppressLineNumbers w:val="0"/>
        <w:spacing w:before="0" w:beforeAutospacing="0" w:after="0" w:afterAutospacing="0"/>
        <w:ind w:left="0" w:right="0"/>
        <w:jc w:val="both"/>
        <w:rPr>
          <w:rFonts w:hint="eastAsia" w:ascii="宋体" w:hAnsi="宋体" w:eastAsia="宋体" w:cs="宋体"/>
          <w:sz w:val="21"/>
          <w:szCs w:val="21"/>
        </w:rPr>
      </w:pPr>
    </w:p>
    <w:p>
      <w:pPr>
        <w:pStyle w:val="2"/>
        <w:keepNext w:val="0"/>
        <w:keepLines w:val="0"/>
        <w:widowControl/>
        <w:suppressLineNumbers w:val="0"/>
        <w:spacing w:before="0" w:beforeAutospacing="0" w:after="0" w:afterAutospacing="0"/>
        <w:ind w:left="0" w:right="0"/>
        <w:jc w:val="right"/>
        <w:rPr>
          <w:rFonts w:hint="eastAsia" w:ascii="宋体" w:hAnsi="宋体" w:eastAsia="宋体" w:cs="宋体"/>
          <w:sz w:val="21"/>
          <w:szCs w:val="21"/>
          <w:lang w:val="en-US" w:eastAsia="zh-CN"/>
        </w:rPr>
      </w:pPr>
    </w:p>
    <w:p>
      <w:pPr>
        <w:pStyle w:val="2"/>
        <w:keepNext w:val="0"/>
        <w:keepLines w:val="0"/>
        <w:widowControl/>
        <w:suppressLineNumbers w:val="0"/>
        <w:spacing w:before="0" w:beforeAutospacing="0" w:after="0" w:afterAutospacing="0"/>
        <w:ind w:left="0" w:right="0"/>
        <w:jc w:val="right"/>
        <w:rPr>
          <w:rFonts w:hint="eastAsia" w:ascii="宋体" w:hAnsi="宋体" w:eastAsia="宋体" w:cs="宋体"/>
          <w:sz w:val="21"/>
          <w:szCs w:val="21"/>
          <w:lang w:val="en-US" w:eastAsia="zh-CN"/>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righ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青岛食品股份有限公司</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righ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董事会</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right"/>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2024年8月28日</w:t>
      </w:r>
    </w:p>
    <w:sectPr>
      <w:headerReference r:id="rId3" w:type="default"/>
      <w:footerReference r:id="rId4" w:type="default"/>
      <w:pgSz w:w="11905" w:h="16840"/>
      <w:pgMar w:top="1440" w:right="1134" w:bottom="1440" w:left="1134" w:header="850"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Wingdings 2">
    <w:panose1 w:val="050201020105070707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rPr>
        <w:rFonts w:ascii="宋体" w:eastAsia="宋体"/>
        <w:sz w:val="18"/>
        <w:szCs w:val="18"/>
      </w:rPr>
      <w:fldChar w:fldCharType="begin"/>
    </w:r>
    <w:r>
      <w:rPr>
        <w:rFonts w:ascii="宋体" w:eastAsia="宋体"/>
        <w:sz w:val="18"/>
        <w:szCs w:val="18"/>
      </w:rPr>
      <w:instrText xml:space="preserve">PAGE   \* MERGEFORMAT</w:instrText>
    </w:r>
    <w:r>
      <w:rPr>
        <w:rFonts w:ascii="宋体" w:eastAsia="宋体"/>
        <w:sz w:val="18"/>
        <w:szCs w:val="18"/>
      </w:rPr>
      <w:fldChar w:fldCharType="separate"/>
    </w:r>
    <w:r>
      <w:rPr>
        <w:rFonts w:ascii="宋体" w:eastAsia="宋体"/>
        <w:sz w:val="18"/>
        <w:szCs w:val="18"/>
      </w:rPr>
      <w:t>1</w:t>
    </w:r>
    <w:r>
      <w:rPr>
        <w:rFonts w:ascii="宋体" w:eastAsia="宋体"/>
        <w:sz w:val="18"/>
        <w:szCs w:val="1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6" w:space="1"/>
      </w:pBdr>
      <w:jc w:val="right"/>
    </w:pPr>
    <w:r>
      <w:rPr>
        <w:rFonts w:ascii="宋体" w:eastAsia="宋体"/>
        <w:sz w:val="18"/>
        <w:szCs w:val="18"/>
      </w:rPr>
      <w:drawing>
        <wp:anchor distT="0" distB="0" distL="114300" distR="114300" simplePos="0" relativeHeight="251659264" behindDoc="1" locked="0" layoutInCell="1" allowOverlap="1">
          <wp:simplePos x="0" y="0"/>
          <wp:positionH relativeFrom="column">
            <wp:posOffset>74930</wp:posOffset>
          </wp:positionH>
          <wp:positionV relativeFrom="paragraph">
            <wp:posOffset>-762000</wp:posOffset>
          </wp:positionV>
          <wp:extent cx="907415" cy="907415"/>
          <wp:effectExtent l="0" t="0" r="0" b="0"/>
          <wp:wrapThrough wrapText="bothSides">
            <wp:wrapPolygon>
              <wp:start x="8162" y="6802"/>
              <wp:lineTo x="2721" y="9523"/>
              <wp:lineTo x="2267" y="14057"/>
              <wp:lineTo x="5442" y="14057"/>
              <wp:lineTo x="7255" y="15871"/>
              <wp:lineTo x="7709" y="16778"/>
              <wp:lineTo x="13150" y="16778"/>
              <wp:lineTo x="20859" y="14511"/>
              <wp:lineTo x="20859" y="14057"/>
              <wp:lineTo x="18139" y="6802"/>
              <wp:lineTo x="8162" y="6802"/>
            </wp:wrapPolygon>
          </wp:wrapThrough>
          <wp:docPr id="2" name="图片 2" descr="微信图片_20231201160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31201160657"/>
                  <pic:cNvPicPr>
                    <a:picLocks noChangeAspect="1"/>
                  </pic:cNvPicPr>
                </pic:nvPicPr>
                <pic:blipFill>
                  <a:blip r:embed="rId1"/>
                  <a:stretch>
                    <a:fillRect/>
                  </a:stretch>
                </pic:blipFill>
                <pic:spPr>
                  <a:xfrm>
                    <a:off x="0" y="0"/>
                    <a:ext cx="907415" cy="907415"/>
                  </a:xfrm>
                  <a:prstGeom prst="rect">
                    <a:avLst/>
                  </a:prstGeom>
                </pic:spPr>
              </pic:pic>
            </a:graphicData>
          </a:graphic>
        </wp:anchor>
      </w:drawing>
    </w:r>
    <w:r>
      <w:rPr>
        <w:rFonts w:ascii="宋体" w:eastAsia="宋体"/>
        <w:sz w:val="18"/>
        <w:szCs w:val="18"/>
      </w:rPr>
      <w:t>青岛食品股份有限公司2024年半年度报告摘要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compat>
    <w:doNotExpandShiftReturn/>
    <w:useFELayout/>
    <w:compatSetting w:name="compatibilityMode" w:uri="http://schemas.microsoft.com/office/word" w:val="14"/>
  </w:compat>
  <w:docVars>
    <w:docVar w:name="commondata" w:val="eyJoZGlkIjoiMzE2MWM4NGI3Zjc4YmM2NmMwMDA5N2UzMzkwMGYwZGQifQ=="/>
  </w:docVars>
  <w:rsids>
    <w:rsidRoot w:val="00000000"/>
    <w:rsid w:val="0E636264"/>
    <w:rsid w:val="339C45FD"/>
    <w:rsid w:val="52D33D97"/>
    <w:rsid w:val="59BE2F10"/>
    <w:rsid w:val="7975437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2"/>
    </w:rPr>
  </w:style>
  <w:style w:type="character" w:default="1" w:styleId="4">
    <w:name w:val="Default Paragraph Font"/>
    <w:semiHidden/>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autoRedefine/>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8</TotalTime>
  <ScaleCrop>false</ScaleCrop>
  <LinksUpToDate>false</LinksUpToDate>
  <Application>WPS Office_12.1.0.16120_F1E327BC-269C-435d-A152-05C5408002CA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2024-08-14T08:02:00Z</dcterms:created>
  <dc:creator>Administrator.USER-20191202VK</dc:creator>
  <cp:lastModifiedBy>李春宏</cp:lastModifiedBy>
  <cp:lastPrinted>2024-08-22T00:12:00Z</cp:lastPrinted>
  <dcterms:modified xsi:type="dcterms:W3CDTF">2024-08-22T00:13:35Z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88FE5C160BDC48839596BE35747B70F9_12</vt:lpwstr>
  </property>
</Properties>
</file>