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00" w:after="1000" w:line="560" w:lineRule="exact"/>
        <w:jc w:val="center"/>
        <w:rPr>
          <w:rFonts w:hint="default" w:ascii="宋体" w:hAnsi="宋体" w:eastAsia="宋体" w:cs="宋体"/>
          <w:sz w:val="18"/>
          <w:szCs w:val="18"/>
          <w:lang w:val="en-US" w:eastAsia="zh-CN"/>
        </w:rPr>
      </w:pPr>
      <w:r>
        <w:rPr>
          <w:rFonts w:ascii="宋体" w:hAnsi="宋体" w:eastAsia="宋体" w:cs="宋体"/>
          <w:sz w:val="18"/>
          <w:szCs w:val="18"/>
        </w:rPr>
        <w:t xml:space="preserve">证券代码：001219     </w:t>
      </w:r>
      <w:r>
        <w:rPr>
          <w:rFonts w:hint="eastAsia" w:ascii="宋体" w:hAnsi="宋体" w:cs="宋体"/>
          <w:sz w:val="18"/>
          <w:szCs w:val="18"/>
          <w:lang w:val="en-US" w:eastAsia="zh-CN"/>
        </w:rPr>
        <w:t xml:space="preserve">         </w:t>
      </w:r>
      <w:r>
        <w:rPr>
          <w:rFonts w:ascii="宋体" w:hAnsi="宋体" w:eastAsia="宋体" w:cs="宋体"/>
          <w:sz w:val="18"/>
          <w:szCs w:val="18"/>
        </w:rPr>
        <w:t xml:space="preserve">           证券简称：青岛食品     </w:t>
      </w:r>
      <w:r>
        <w:rPr>
          <w:rFonts w:hint="eastAsia" w:ascii="宋体" w:hAnsi="宋体" w:cs="宋体"/>
          <w:sz w:val="18"/>
          <w:szCs w:val="18"/>
          <w:lang w:val="en-US" w:eastAsia="zh-CN"/>
        </w:rPr>
        <w:t xml:space="preserve">         </w:t>
      </w:r>
      <w:r>
        <w:rPr>
          <w:rFonts w:ascii="宋体" w:hAnsi="宋体" w:eastAsia="宋体" w:cs="宋体"/>
          <w:sz w:val="18"/>
          <w:szCs w:val="18"/>
        </w:rPr>
        <w:t xml:space="preserve">           公告编号：</w:t>
      </w:r>
      <w:r>
        <w:rPr>
          <w:rFonts w:hint="eastAsia" w:ascii="宋体" w:hAnsi="宋体" w:cs="宋体"/>
          <w:sz w:val="18"/>
          <w:szCs w:val="18"/>
          <w:lang w:val="en-US" w:eastAsia="zh-CN"/>
        </w:rPr>
        <w:t>2024-035</w:t>
      </w:r>
    </w:p>
    <w:p>
      <w:pPr>
        <w:spacing w:before="200" w:after="200" w:line="400" w:lineRule="exact"/>
        <w:jc w:val="center"/>
        <w:rPr>
          <w:rFonts w:ascii="宋体" w:hAnsi="宋体" w:eastAsia="宋体" w:cs="宋体"/>
          <w:b/>
          <w:bCs/>
          <w:sz w:val="32"/>
          <w:szCs w:val="32"/>
        </w:rPr>
      </w:pPr>
      <w:r>
        <w:rPr>
          <w:rFonts w:ascii="宋体" w:hAnsi="宋体" w:eastAsia="宋体" w:cs="宋体"/>
          <w:b/>
          <w:bCs/>
          <w:sz w:val="32"/>
          <w:szCs w:val="32"/>
        </w:rPr>
        <w:t>青岛食品股份有限公司</w:t>
      </w:r>
    </w:p>
    <w:p>
      <w:pPr>
        <w:spacing w:before="200" w:after="200" w:line="400" w:lineRule="exact"/>
        <w:jc w:val="center"/>
        <w:rPr>
          <w:rFonts w:ascii="宋体" w:hAnsi="宋体" w:eastAsia="宋体" w:cs="宋体"/>
          <w:b/>
          <w:bCs/>
          <w:sz w:val="32"/>
          <w:szCs w:val="32"/>
        </w:rPr>
      </w:pPr>
      <w:r>
        <w:rPr>
          <w:rFonts w:ascii="宋体" w:hAnsi="宋体" w:eastAsia="宋体" w:cs="宋体"/>
          <w:b/>
          <w:bCs/>
          <w:sz w:val="32"/>
          <w:szCs w:val="32"/>
        </w:rPr>
        <w:t>2024年第三季度报告</w:t>
      </w:r>
    </w:p>
    <w:p>
      <w:pPr>
        <w:pBdr>
          <w:top w:val="single" w:color="auto" w:sz="4" w:space="1"/>
          <w:left w:val="single" w:color="auto" w:sz="4" w:space="4"/>
          <w:bottom w:val="single" w:color="auto" w:sz="4" w:space="1"/>
          <w:right w:val="single" w:color="auto" w:sz="4" w:space="4"/>
        </w:pBdr>
        <w:spacing w:before="100" w:after="100" w:line="400" w:lineRule="exact"/>
        <w:ind w:firstLine="360" w:firstLineChars="200"/>
        <w:jc w:val="left"/>
        <w:rPr>
          <w:rFonts w:ascii="宋体" w:hAnsi="宋体" w:eastAsia="宋体" w:cs="宋体"/>
          <w:sz w:val="18"/>
          <w:szCs w:val="18"/>
        </w:rPr>
      </w:pPr>
      <w:r>
        <w:rPr>
          <w:rFonts w:ascii="宋体" w:hAnsi="宋体" w:eastAsia="宋体" w:cs="宋体"/>
          <w:sz w:val="18"/>
          <w:szCs w:val="18"/>
        </w:rPr>
        <w:t>本公司及董事会全体成员保证信息披露的内容真实、准确、完整，没有虚假记载、误导性陈述或重大遗漏。</w:t>
      </w:r>
    </w:p>
    <w:p>
      <w:pPr>
        <w:spacing w:before="40" w:after="40" w:line="420" w:lineRule="exact"/>
        <w:jc w:val="left"/>
        <w:rPr>
          <w:rFonts w:ascii="宋体" w:hAnsi="宋体" w:eastAsia="宋体" w:cs="宋体"/>
          <w:b/>
          <w:bCs/>
          <w:sz w:val="24"/>
          <w:szCs w:val="24"/>
        </w:rPr>
      </w:pPr>
      <w:r>
        <w:rPr>
          <w:rFonts w:ascii="宋体" w:hAnsi="宋体" w:eastAsia="宋体" w:cs="宋体"/>
          <w:b/>
          <w:bCs/>
          <w:sz w:val="24"/>
          <w:szCs w:val="24"/>
        </w:rPr>
        <w:t>重要内容提示：</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21"/>
          <w:szCs w:val="21"/>
        </w:rPr>
      </w:pPr>
      <w:r>
        <w:rPr>
          <w:rFonts w:ascii="宋体" w:hAnsi="宋体" w:eastAsia="宋体" w:cs="宋体"/>
          <w:sz w:val="21"/>
          <w:szCs w:val="21"/>
        </w:rPr>
        <w:t>1.董事会、监事会及董事、监事、高级管理人员保证季度报告的真实、准确、完整，不存在虚假记载、误导性陈述或重大遗漏，并承担个别和连带的法律责任。</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21"/>
          <w:szCs w:val="21"/>
        </w:rPr>
      </w:pPr>
      <w:r>
        <w:rPr>
          <w:rFonts w:ascii="宋体" w:hAnsi="宋体" w:eastAsia="宋体" w:cs="宋体"/>
          <w:sz w:val="21"/>
          <w:szCs w:val="21"/>
        </w:rPr>
        <w:t>2.公司负责人、主管会计工作负责人及会计机构负责人(会计主管人员)声明：保证季度报告中财务信息的真实、准确、完整。</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21"/>
          <w:szCs w:val="21"/>
        </w:rPr>
      </w:pPr>
      <w:r>
        <w:rPr>
          <w:rFonts w:ascii="宋体" w:hAnsi="宋体" w:eastAsia="宋体" w:cs="宋体"/>
          <w:sz w:val="21"/>
          <w:szCs w:val="21"/>
        </w:rPr>
        <w:t>3.第三季度报告是否经过审计</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21"/>
          <w:szCs w:val="21"/>
        </w:rPr>
      </w:pPr>
      <w:r>
        <w:rPr>
          <w:rFonts w:ascii="宋体" w:hAnsi="宋体" w:eastAsia="宋体" w:cs="宋体"/>
          <w:sz w:val="21"/>
          <w:szCs w:val="21"/>
        </w:rPr>
        <w:t xml:space="preserve">□是 </w:t>
      </w:r>
      <w:r>
        <w:rPr>
          <w:rFonts w:ascii="宋体" w:hAnsi="宋体" w:eastAsia="宋体" w:cs="宋体"/>
          <w:sz w:val="21"/>
          <w:szCs w:val="21"/>
        </w:rPr>
        <w:sym w:font="Wingdings 2" w:char="F052"/>
      </w:r>
      <w:r>
        <w:rPr>
          <w:rFonts w:ascii="宋体" w:hAnsi="宋体" w:eastAsia="宋体" w:cs="宋体"/>
          <w:sz w:val="21"/>
          <w:szCs w:val="21"/>
        </w:rPr>
        <w:t>否</w:t>
      </w:r>
    </w:p>
    <w:p>
      <w:pPr>
        <w:keepNext/>
        <w:keepLines/>
        <w:pageBreakBefore w:val="0"/>
        <w:widowControl w:val="0"/>
        <w:kinsoku/>
        <w:wordWrap/>
        <w:overflowPunct/>
        <w:topLinePunct w:val="0"/>
        <w:autoSpaceDE/>
        <w:autoSpaceDN/>
        <w:bidi w:val="0"/>
        <w:adjustRightInd/>
        <w:snapToGrid/>
        <w:spacing w:before="200" w:after="200" w:line="320" w:lineRule="exact"/>
        <w:jc w:val="left"/>
        <w:textAlignment w:val="auto"/>
        <w:outlineLvl w:val="0"/>
        <w:rPr>
          <w:rFonts w:ascii="宋体" w:hAnsi="宋体" w:eastAsia="宋体" w:cs="宋体"/>
          <w:b/>
          <w:bCs/>
          <w:sz w:val="24"/>
          <w:szCs w:val="24"/>
        </w:rPr>
      </w:pPr>
      <w:bookmarkStart w:id="0" w:name="_Toc988889"/>
      <w:r>
        <w:rPr>
          <w:rFonts w:ascii="宋体" w:hAnsi="宋体" w:eastAsia="宋体" w:cs="宋体"/>
          <w:b/>
          <w:bCs/>
          <w:sz w:val="24"/>
          <w:szCs w:val="24"/>
        </w:rPr>
        <w:t>一、主要财务数据</w:t>
      </w:r>
      <w:bookmarkEnd w:id="0"/>
    </w:p>
    <w:p>
      <w:pPr>
        <w:keepNext/>
        <w:keepLines/>
        <w:pageBreakBefore w:val="0"/>
        <w:widowControl w:val="0"/>
        <w:kinsoku/>
        <w:wordWrap/>
        <w:overflowPunct/>
        <w:topLinePunct w:val="0"/>
        <w:autoSpaceDE/>
        <w:autoSpaceDN/>
        <w:bidi w:val="0"/>
        <w:adjustRightInd/>
        <w:snapToGrid/>
        <w:spacing w:before="200" w:after="200" w:line="280" w:lineRule="exact"/>
        <w:jc w:val="left"/>
        <w:textAlignment w:val="auto"/>
        <w:outlineLvl w:val="1"/>
        <w:rPr>
          <w:rFonts w:ascii="宋体" w:hAnsi="宋体" w:eastAsia="宋体" w:cs="宋体"/>
          <w:b/>
          <w:bCs/>
          <w:sz w:val="21"/>
          <w:szCs w:val="21"/>
        </w:rPr>
      </w:pPr>
      <w:bookmarkStart w:id="1" w:name="_Toc988890"/>
      <w:r>
        <w:rPr>
          <w:rFonts w:ascii="宋体" w:hAnsi="宋体" w:eastAsia="宋体" w:cs="宋体"/>
          <w:b/>
          <w:bCs/>
          <w:sz w:val="21"/>
          <w:szCs w:val="21"/>
        </w:rPr>
        <w:t>（一）主要会计数据和财务指标</w:t>
      </w:r>
      <w:bookmarkEnd w:id="1"/>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21"/>
          <w:szCs w:val="21"/>
        </w:rPr>
      </w:pPr>
      <w:r>
        <w:rPr>
          <w:rFonts w:ascii="宋体" w:hAnsi="宋体" w:eastAsia="宋体" w:cs="宋体"/>
          <w:sz w:val="21"/>
          <w:szCs w:val="21"/>
        </w:rPr>
        <w:t>公司是否需追溯调整或重述以前年度会计数据</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21"/>
          <w:szCs w:val="21"/>
        </w:rPr>
      </w:pPr>
      <w:r>
        <w:rPr>
          <w:rFonts w:ascii="宋体" w:hAnsi="宋体" w:eastAsia="宋体" w:cs="宋体"/>
          <w:sz w:val="21"/>
          <w:szCs w:val="21"/>
        </w:rPr>
        <w:t xml:space="preserve">□是 </w:t>
      </w:r>
      <w:r>
        <w:rPr>
          <w:rFonts w:ascii="宋体" w:hAnsi="宋体" w:eastAsia="宋体" w:cs="宋体"/>
          <w:sz w:val="21"/>
          <w:szCs w:val="21"/>
        </w:rPr>
        <w:sym w:font="Wingdings 2" w:char="F052"/>
      </w:r>
      <w:r>
        <w:rPr>
          <w:rFonts w:ascii="宋体" w:hAnsi="宋体" w:eastAsia="宋体" w:cs="宋体"/>
          <w:sz w:val="21"/>
          <w:szCs w:val="21"/>
        </w:rPr>
        <w:t>否</w:t>
      </w: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27"/>
        <w:gridCol w:w="1656"/>
        <w:gridCol w:w="1952"/>
        <w:gridCol w:w="1477"/>
        <w:gridCol w:w="1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85" w:type="pct"/>
            <w:shd w:val="clear" w:color="auto" w:fill="D3D3D3"/>
            <w:vAlign w:val="center"/>
          </w:tcPr>
          <w:p/>
        </w:tc>
        <w:tc>
          <w:tcPr>
            <w:tcW w:w="840" w:type="pct"/>
            <w:shd w:val="clear" w:color="auto" w:fill="D3D3D3"/>
            <w:vAlign w:val="center"/>
          </w:tcPr>
          <w:p>
            <w:pPr>
              <w:spacing w:before="0" w:after="0" w:line="240" w:lineRule="exact"/>
              <w:jc w:val="center"/>
              <w:rPr>
                <w:rFonts w:ascii="宋体" w:hAnsi="宋体" w:eastAsia="宋体" w:cs="宋体"/>
                <w:sz w:val="18"/>
                <w:szCs w:val="18"/>
              </w:rPr>
            </w:pPr>
            <w:r>
              <w:rPr>
                <w:rFonts w:ascii="宋体" w:hAnsi="宋体" w:eastAsia="宋体" w:cs="宋体"/>
                <w:sz w:val="18"/>
                <w:szCs w:val="18"/>
              </w:rPr>
              <w:t>本报告期</w:t>
            </w:r>
          </w:p>
        </w:tc>
        <w:tc>
          <w:tcPr>
            <w:tcW w:w="990" w:type="pct"/>
            <w:shd w:val="clear" w:color="auto" w:fill="D3D3D3"/>
            <w:vAlign w:val="center"/>
          </w:tcPr>
          <w:p>
            <w:pPr>
              <w:spacing w:before="0" w:after="0" w:line="240" w:lineRule="exact"/>
              <w:jc w:val="center"/>
              <w:rPr>
                <w:rFonts w:ascii="宋体" w:hAnsi="宋体" w:eastAsia="宋体" w:cs="宋体"/>
                <w:sz w:val="18"/>
                <w:szCs w:val="18"/>
              </w:rPr>
            </w:pPr>
            <w:r>
              <w:rPr>
                <w:rFonts w:ascii="宋体" w:hAnsi="宋体" w:eastAsia="宋体" w:cs="宋体"/>
                <w:sz w:val="18"/>
                <w:szCs w:val="18"/>
              </w:rPr>
              <w:t>本报告期比上年同期增减</w:t>
            </w:r>
          </w:p>
        </w:tc>
        <w:tc>
          <w:tcPr>
            <w:tcW w:w="749" w:type="pct"/>
            <w:shd w:val="clear" w:color="auto" w:fill="D3D3D3"/>
            <w:vAlign w:val="center"/>
          </w:tcPr>
          <w:p>
            <w:pPr>
              <w:spacing w:before="0" w:after="0" w:line="240" w:lineRule="exact"/>
              <w:jc w:val="center"/>
              <w:rPr>
                <w:rFonts w:ascii="宋体" w:hAnsi="宋体" w:eastAsia="宋体" w:cs="宋体"/>
                <w:sz w:val="18"/>
                <w:szCs w:val="18"/>
              </w:rPr>
            </w:pPr>
            <w:r>
              <w:rPr>
                <w:rFonts w:ascii="宋体" w:hAnsi="宋体" w:eastAsia="宋体" w:cs="宋体"/>
                <w:sz w:val="18"/>
                <w:szCs w:val="18"/>
              </w:rPr>
              <w:t>年初至报告期末</w:t>
            </w:r>
          </w:p>
        </w:tc>
        <w:tc>
          <w:tcPr>
            <w:tcW w:w="934" w:type="pct"/>
            <w:shd w:val="clear" w:color="auto" w:fill="D3D3D3"/>
            <w:vAlign w:val="center"/>
          </w:tcPr>
          <w:p>
            <w:pPr>
              <w:spacing w:before="0" w:after="0" w:line="240" w:lineRule="exact"/>
              <w:jc w:val="center"/>
              <w:rPr>
                <w:rFonts w:ascii="宋体" w:hAnsi="宋体" w:eastAsia="宋体" w:cs="宋体"/>
                <w:sz w:val="18"/>
                <w:szCs w:val="18"/>
              </w:rPr>
            </w:pPr>
            <w:r>
              <w:rPr>
                <w:rFonts w:ascii="宋体" w:hAnsi="宋体" w:eastAsia="宋体" w:cs="宋体"/>
                <w:sz w:val="18"/>
                <w:szCs w:val="18"/>
              </w:rPr>
              <w:t>年初至报告期末比上年同期增减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85" w:type="pct"/>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营业收入（元）</w:t>
            </w:r>
          </w:p>
        </w:tc>
        <w:tc>
          <w:tcPr>
            <w:tcW w:w="840"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133,050,530.64</w:t>
            </w:r>
          </w:p>
        </w:tc>
        <w:tc>
          <w:tcPr>
            <w:tcW w:w="990"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7.09%</w:t>
            </w:r>
          </w:p>
        </w:tc>
        <w:tc>
          <w:tcPr>
            <w:tcW w:w="749"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395,264,847.29</w:t>
            </w:r>
          </w:p>
        </w:tc>
        <w:tc>
          <w:tcPr>
            <w:tcW w:w="934"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4.96%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85" w:type="pct"/>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归属于上市公司股东的净利润（元）</w:t>
            </w:r>
          </w:p>
        </w:tc>
        <w:tc>
          <w:tcPr>
            <w:tcW w:w="840"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26,561,323.75</w:t>
            </w:r>
          </w:p>
        </w:tc>
        <w:tc>
          <w:tcPr>
            <w:tcW w:w="990"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23.44%</w:t>
            </w:r>
          </w:p>
        </w:tc>
        <w:tc>
          <w:tcPr>
            <w:tcW w:w="749"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86,600,287.21</w:t>
            </w:r>
          </w:p>
        </w:tc>
        <w:tc>
          <w:tcPr>
            <w:tcW w:w="934"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15.66%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85" w:type="pct"/>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归属于上市公司股东的扣除非经常性损益的净利润（元）</w:t>
            </w:r>
          </w:p>
        </w:tc>
        <w:tc>
          <w:tcPr>
            <w:tcW w:w="840"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22,593,227.70</w:t>
            </w:r>
          </w:p>
        </w:tc>
        <w:tc>
          <w:tcPr>
            <w:tcW w:w="990"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28.57%</w:t>
            </w:r>
          </w:p>
        </w:tc>
        <w:tc>
          <w:tcPr>
            <w:tcW w:w="749"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74,817,605.31</w:t>
            </w:r>
          </w:p>
        </w:tc>
        <w:tc>
          <w:tcPr>
            <w:tcW w:w="934"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20.39%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85" w:type="pct"/>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经营活动产生的现金流量净额（元）</w:t>
            </w:r>
          </w:p>
        </w:tc>
        <w:tc>
          <w:tcPr>
            <w:tcW w:w="840" w:type="pct"/>
            <w:shd w:val="clear" w:color="auto" w:fill="D3D3D3"/>
            <w:vAlign w:val="center"/>
          </w:tcPr>
          <w:p>
            <w:pPr>
              <w:spacing w:before="40" w:after="40" w:line="240" w:lineRule="exact"/>
              <w:jc w:val="center"/>
              <w:rPr>
                <w:rFonts w:ascii="宋体" w:hAnsi="宋体" w:eastAsia="宋体" w:cs="宋体"/>
                <w:sz w:val="18"/>
                <w:szCs w:val="18"/>
              </w:rPr>
            </w:pPr>
            <w:r>
              <w:rPr>
                <w:rFonts w:ascii="宋体" w:hAnsi="宋体" w:eastAsia="宋体" w:cs="宋体"/>
                <w:sz w:val="18"/>
                <w:szCs w:val="18"/>
              </w:rPr>
              <w:t>—</w:t>
            </w:r>
          </w:p>
        </w:tc>
        <w:tc>
          <w:tcPr>
            <w:tcW w:w="990" w:type="pct"/>
            <w:shd w:val="clear" w:color="auto" w:fill="D3D3D3"/>
            <w:vAlign w:val="center"/>
          </w:tcPr>
          <w:p>
            <w:pPr>
              <w:spacing w:before="40" w:after="40" w:line="240" w:lineRule="exact"/>
              <w:jc w:val="center"/>
              <w:rPr>
                <w:rFonts w:ascii="宋体" w:hAnsi="宋体" w:eastAsia="宋体" w:cs="宋体"/>
                <w:sz w:val="18"/>
                <w:szCs w:val="18"/>
              </w:rPr>
            </w:pPr>
            <w:r>
              <w:rPr>
                <w:rFonts w:ascii="宋体" w:hAnsi="宋体" w:eastAsia="宋体" w:cs="宋体"/>
                <w:sz w:val="18"/>
                <w:szCs w:val="18"/>
              </w:rPr>
              <w:t>—</w:t>
            </w:r>
          </w:p>
        </w:tc>
        <w:tc>
          <w:tcPr>
            <w:tcW w:w="749"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61,896,437.17</w:t>
            </w:r>
          </w:p>
        </w:tc>
        <w:tc>
          <w:tcPr>
            <w:tcW w:w="934"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48.66%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85" w:type="pct"/>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基本每股收益（元/股）</w:t>
            </w:r>
          </w:p>
        </w:tc>
        <w:tc>
          <w:tcPr>
            <w:tcW w:w="840"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0.14</w:t>
            </w:r>
          </w:p>
        </w:tc>
        <w:tc>
          <w:tcPr>
            <w:tcW w:w="990"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27.27%</w:t>
            </w:r>
          </w:p>
        </w:tc>
        <w:tc>
          <w:tcPr>
            <w:tcW w:w="749"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0.44</w:t>
            </w:r>
          </w:p>
        </w:tc>
        <w:tc>
          <w:tcPr>
            <w:tcW w:w="934"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15.79%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85" w:type="pct"/>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稀释每股收益（元/股）</w:t>
            </w:r>
          </w:p>
        </w:tc>
        <w:tc>
          <w:tcPr>
            <w:tcW w:w="840"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0.14</w:t>
            </w:r>
          </w:p>
        </w:tc>
        <w:tc>
          <w:tcPr>
            <w:tcW w:w="990"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27.27%</w:t>
            </w:r>
          </w:p>
        </w:tc>
        <w:tc>
          <w:tcPr>
            <w:tcW w:w="749"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0.44</w:t>
            </w:r>
          </w:p>
        </w:tc>
        <w:tc>
          <w:tcPr>
            <w:tcW w:w="934"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15.79%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85" w:type="pct"/>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加权平均净资产收益率</w:t>
            </w:r>
          </w:p>
        </w:tc>
        <w:tc>
          <w:tcPr>
            <w:tcW w:w="840"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2.65%</w:t>
            </w:r>
          </w:p>
        </w:tc>
        <w:tc>
          <w:tcPr>
            <w:tcW w:w="990"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0.39%</w:t>
            </w:r>
          </w:p>
        </w:tc>
        <w:tc>
          <w:tcPr>
            <w:tcW w:w="749"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8.68%</w:t>
            </w:r>
          </w:p>
        </w:tc>
        <w:tc>
          <w:tcPr>
            <w:tcW w:w="934"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85" w:type="pct"/>
            <w:shd w:val="clear" w:color="auto" w:fill="D3D3D3"/>
            <w:vAlign w:val="center"/>
          </w:tcPr>
          <w:p/>
        </w:tc>
        <w:tc>
          <w:tcPr>
            <w:tcW w:w="840" w:type="pct"/>
            <w:shd w:val="clear" w:color="auto" w:fill="D3D3D3"/>
            <w:vAlign w:val="center"/>
          </w:tcPr>
          <w:p>
            <w:pPr>
              <w:spacing w:before="0" w:after="0" w:line="240" w:lineRule="exact"/>
              <w:jc w:val="center"/>
              <w:rPr>
                <w:rFonts w:ascii="宋体" w:hAnsi="宋体" w:eastAsia="宋体" w:cs="宋体"/>
                <w:sz w:val="18"/>
                <w:szCs w:val="18"/>
              </w:rPr>
            </w:pPr>
            <w:r>
              <w:rPr>
                <w:rFonts w:ascii="宋体" w:hAnsi="宋体" w:eastAsia="宋体" w:cs="宋体"/>
                <w:sz w:val="18"/>
                <w:szCs w:val="18"/>
              </w:rPr>
              <w:t>本报告期末</w:t>
            </w:r>
          </w:p>
        </w:tc>
        <w:tc>
          <w:tcPr>
            <w:tcW w:w="990" w:type="pct"/>
            <w:shd w:val="clear" w:color="auto" w:fill="D3D3D3"/>
            <w:vAlign w:val="center"/>
          </w:tcPr>
          <w:p>
            <w:pPr>
              <w:spacing w:before="0" w:after="0" w:line="240" w:lineRule="exact"/>
              <w:jc w:val="center"/>
              <w:rPr>
                <w:rFonts w:ascii="宋体" w:hAnsi="宋体" w:eastAsia="宋体" w:cs="宋体"/>
                <w:sz w:val="18"/>
                <w:szCs w:val="18"/>
              </w:rPr>
            </w:pPr>
            <w:r>
              <w:rPr>
                <w:rFonts w:ascii="宋体" w:hAnsi="宋体" w:eastAsia="宋体" w:cs="宋体"/>
                <w:sz w:val="18"/>
                <w:szCs w:val="18"/>
              </w:rPr>
              <w:t>上年度末</w:t>
            </w:r>
          </w:p>
        </w:tc>
        <w:tc>
          <w:tcPr>
            <w:tcW w:w="1683" w:type="pct"/>
            <w:gridSpan w:val="2"/>
            <w:shd w:val="clear" w:color="auto" w:fill="D3D3D3"/>
            <w:vAlign w:val="center"/>
          </w:tcPr>
          <w:p>
            <w:pPr>
              <w:spacing w:before="0" w:after="0" w:line="240" w:lineRule="exact"/>
              <w:jc w:val="center"/>
              <w:rPr>
                <w:rFonts w:ascii="宋体" w:hAnsi="宋体" w:eastAsia="宋体" w:cs="宋体"/>
                <w:sz w:val="18"/>
                <w:szCs w:val="18"/>
              </w:rPr>
            </w:pPr>
            <w:r>
              <w:rPr>
                <w:rFonts w:ascii="宋体" w:hAnsi="宋体" w:eastAsia="宋体" w:cs="宋体"/>
                <w:sz w:val="18"/>
                <w:szCs w:val="18"/>
              </w:rPr>
              <w:t>本报告期末比上年度末增减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85" w:type="pct"/>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总资产（元）</w:t>
            </w:r>
          </w:p>
        </w:tc>
        <w:tc>
          <w:tcPr>
            <w:tcW w:w="840"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1,099,996,864.98</w:t>
            </w:r>
          </w:p>
        </w:tc>
        <w:tc>
          <w:tcPr>
            <w:tcW w:w="990"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1,074,440,453.60</w:t>
            </w:r>
          </w:p>
        </w:tc>
        <w:tc>
          <w:tcPr>
            <w:tcW w:w="1683" w:type="pct"/>
            <w:gridSpan w:val="2"/>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85" w:type="pct"/>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归属于上市公司股东的所有者权益（元）</w:t>
            </w:r>
          </w:p>
        </w:tc>
        <w:tc>
          <w:tcPr>
            <w:tcW w:w="840"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1,016,478,215.67</w:t>
            </w:r>
          </w:p>
        </w:tc>
        <w:tc>
          <w:tcPr>
            <w:tcW w:w="990"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974,634,181.91</w:t>
            </w:r>
          </w:p>
        </w:tc>
        <w:tc>
          <w:tcPr>
            <w:tcW w:w="1683" w:type="pct"/>
            <w:gridSpan w:val="2"/>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4.29%</w:t>
            </w:r>
          </w:p>
        </w:tc>
      </w:tr>
    </w:tbl>
    <w:p>
      <w:pPr>
        <w:keepNext/>
        <w:keepLines/>
        <w:pageBreakBefore w:val="0"/>
        <w:widowControl w:val="0"/>
        <w:kinsoku/>
        <w:wordWrap/>
        <w:overflowPunct/>
        <w:topLinePunct w:val="0"/>
        <w:autoSpaceDE/>
        <w:autoSpaceDN/>
        <w:bidi w:val="0"/>
        <w:adjustRightInd/>
        <w:snapToGrid/>
        <w:spacing w:before="200" w:after="200" w:line="280" w:lineRule="exact"/>
        <w:jc w:val="left"/>
        <w:textAlignment w:val="auto"/>
        <w:outlineLvl w:val="1"/>
        <w:rPr>
          <w:rFonts w:ascii="宋体" w:hAnsi="宋体" w:eastAsia="宋体" w:cs="宋体"/>
          <w:b/>
          <w:bCs/>
          <w:sz w:val="21"/>
          <w:szCs w:val="21"/>
        </w:rPr>
      </w:pPr>
      <w:bookmarkStart w:id="2" w:name="_Toc988891"/>
      <w:r>
        <w:rPr>
          <w:rFonts w:ascii="宋体" w:hAnsi="宋体" w:eastAsia="宋体" w:cs="宋体"/>
          <w:b/>
          <w:bCs/>
          <w:sz w:val="21"/>
          <w:szCs w:val="21"/>
        </w:rPr>
        <w:t>（二）非经常性损益项目和金额</w:t>
      </w:r>
      <w:bookmarkEnd w:id="2"/>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21"/>
          <w:szCs w:val="21"/>
        </w:rPr>
      </w:pPr>
      <w:r>
        <w:rPr>
          <w:rFonts w:ascii="宋体" w:hAnsi="宋体" w:eastAsia="宋体" w:cs="宋体"/>
          <w:sz w:val="21"/>
          <w:szCs w:val="21"/>
        </w:rPr>
        <w:sym w:font="Wingdings 2" w:char="F052"/>
      </w:r>
      <w:r>
        <w:rPr>
          <w:rFonts w:ascii="宋体" w:hAnsi="宋体" w:eastAsia="宋体" w:cs="宋体"/>
          <w:sz w:val="21"/>
          <w:szCs w:val="21"/>
        </w:rPr>
        <w:t>适用 □不适用</w:t>
      </w:r>
    </w:p>
    <w:p>
      <w:pPr>
        <w:spacing w:before="0" w:after="0" w:line="240" w:lineRule="exact"/>
        <w:jc w:val="right"/>
        <w:rPr>
          <w:rFonts w:ascii="宋体" w:hAnsi="宋体" w:eastAsia="宋体" w:cs="宋体"/>
          <w:sz w:val="18"/>
          <w:szCs w:val="18"/>
        </w:rPr>
      </w:pPr>
      <w:r>
        <w:rPr>
          <w:rFonts w:ascii="宋体" w:hAnsi="宋体" w:eastAsia="宋体" w:cs="宋体"/>
          <w:sz w:val="18"/>
          <w:szCs w:val="18"/>
        </w:rPr>
        <w:t>单位：元</w:t>
      </w:r>
    </w:p>
    <w:tbl>
      <w:tblPr>
        <w:tblStyle w:val="3"/>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441"/>
        <w:gridCol w:w="1471"/>
        <w:gridCol w:w="1386"/>
        <w:gridCol w:w="155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40" w:hRule="atLeast"/>
        </w:trPr>
        <w:tc>
          <w:tcPr>
            <w:tcW w:w="2760" w:type="pc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ascii="宋体" w:hAnsi="宋体" w:eastAsia="宋体" w:cs="宋体"/>
                <w:sz w:val="18"/>
                <w:szCs w:val="18"/>
              </w:rPr>
            </w:pPr>
            <w:r>
              <w:rPr>
                <w:rFonts w:ascii="宋体" w:hAnsi="宋体" w:eastAsia="宋体" w:cs="宋体"/>
                <w:sz w:val="18"/>
                <w:szCs w:val="18"/>
              </w:rPr>
              <w:t>项目</w:t>
            </w:r>
          </w:p>
        </w:tc>
        <w:tc>
          <w:tcPr>
            <w:tcW w:w="746" w:type="pc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ascii="宋体" w:hAnsi="宋体" w:eastAsia="宋体" w:cs="宋体"/>
                <w:sz w:val="18"/>
                <w:szCs w:val="18"/>
              </w:rPr>
            </w:pPr>
            <w:r>
              <w:rPr>
                <w:rFonts w:ascii="宋体" w:hAnsi="宋体" w:eastAsia="宋体" w:cs="宋体"/>
                <w:sz w:val="18"/>
                <w:szCs w:val="18"/>
              </w:rPr>
              <w:t>本报告期金额</w:t>
            </w:r>
          </w:p>
        </w:tc>
        <w:tc>
          <w:tcPr>
            <w:tcW w:w="703" w:type="pc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ascii="宋体" w:hAnsi="宋体" w:eastAsia="宋体" w:cs="宋体"/>
                <w:sz w:val="18"/>
                <w:szCs w:val="18"/>
              </w:rPr>
            </w:pPr>
            <w:r>
              <w:rPr>
                <w:rFonts w:ascii="宋体" w:hAnsi="宋体" w:eastAsia="宋体" w:cs="宋体"/>
                <w:sz w:val="18"/>
                <w:szCs w:val="18"/>
              </w:rPr>
              <w:t>年初至报告期期末金额</w:t>
            </w:r>
          </w:p>
        </w:tc>
        <w:tc>
          <w:tcPr>
            <w:tcW w:w="789" w:type="pc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ascii="宋体" w:hAnsi="宋体" w:eastAsia="宋体" w:cs="宋体"/>
                <w:sz w:val="18"/>
                <w:szCs w:val="18"/>
              </w:rPr>
            </w:pPr>
            <w:r>
              <w:rPr>
                <w:rFonts w:ascii="宋体" w:hAnsi="宋体" w:eastAsia="宋体" w:cs="宋体"/>
                <w:sz w:val="18"/>
                <w:szCs w:val="18"/>
              </w:rPr>
              <w:t>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40" w:hRule="atLeast"/>
        </w:trPr>
        <w:tc>
          <w:tcPr>
            <w:tcW w:w="2760" w:type="pc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ascii="宋体" w:hAnsi="宋体" w:eastAsia="宋体" w:cs="宋体"/>
                <w:sz w:val="18"/>
                <w:szCs w:val="18"/>
              </w:rPr>
            </w:pPr>
            <w:r>
              <w:rPr>
                <w:rFonts w:ascii="宋体" w:hAnsi="宋体" w:eastAsia="宋体" w:cs="宋体"/>
                <w:sz w:val="18"/>
                <w:szCs w:val="18"/>
              </w:rPr>
              <w:t>计入当期损益的政府补助（与公司正常经营业务密切相关、符合国家政策规定、按照确定的标准享有、对公司损益产生持续影响的政府补助除外）</w:t>
            </w:r>
          </w:p>
        </w:tc>
        <w:tc>
          <w:tcPr>
            <w:tcW w:w="746" w:type="pct"/>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195,986.51</w:t>
            </w:r>
          </w:p>
        </w:tc>
        <w:tc>
          <w:tcPr>
            <w:tcW w:w="703" w:type="pct"/>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367,659.13</w:t>
            </w:r>
          </w:p>
        </w:tc>
        <w:tc>
          <w:tcPr>
            <w:tcW w:w="789" w:type="pct"/>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主要系收到政府补助</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40" w:hRule="atLeast"/>
        </w:trPr>
        <w:tc>
          <w:tcPr>
            <w:tcW w:w="2760" w:type="pc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ascii="宋体" w:hAnsi="宋体" w:eastAsia="宋体" w:cs="宋体"/>
                <w:sz w:val="18"/>
                <w:szCs w:val="18"/>
              </w:rPr>
            </w:pPr>
            <w:r>
              <w:rPr>
                <w:rFonts w:ascii="宋体" w:hAnsi="宋体" w:eastAsia="宋体" w:cs="宋体"/>
                <w:sz w:val="18"/>
                <w:szCs w:val="18"/>
              </w:rPr>
              <w:t>除同公司正常经营业务相关的有效套期保值业务外，非金融企业持有金融资产和金融负债产生的公允价值变动损益以及处置金融资产和金融负债产生的损益</w:t>
            </w:r>
          </w:p>
        </w:tc>
        <w:tc>
          <w:tcPr>
            <w:tcW w:w="746" w:type="pct"/>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4,644,808.22</w:t>
            </w:r>
          </w:p>
        </w:tc>
        <w:tc>
          <w:tcPr>
            <w:tcW w:w="703" w:type="pct"/>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14,520,175.35</w:t>
            </w:r>
          </w:p>
        </w:tc>
        <w:tc>
          <w:tcPr>
            <w:tcW w:w="789" w:type="pct"/>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主要系购买交易性金融资产取得的收益</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40" w:hRule="atLeast"/>
        </w:trPr>
        <w:tc>
          <w:tcPr>
            <w:tcW w:w="2760" w:type="pc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ascii="宋体" w:hAnsi="宋体" w:eastAsia="宋体" w:cs="宋体"/>
                <w:sz w:val="18"/>
                <w:szCs w:val="18"/>
              </w:rPr>
            </w:pPr>
            <w:r>
              <w:rPr>
                <w:rFonts w:ascii="宋体" w:hAnsi="宋体" w:eastAsia="宋体" w:cs="宋体"/>
                <w:sz w:val="18"/>
                <w:szCs w:val="18"/>
              </w:rPr>
              <w:t>单独进行减值测试的应收款项减值准备转回</w:t>
            </w:r>
          </w:p>
        </w:tc>
        <w:tc>
          <w:tcPr>
            <w:tcW w:w="746" w:type="pct"/>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450,000.00</w:t>
            </w:r>
          </w:p>
        </w:tc>
        <w:tc>
          <w:tcPr>
            <w:tcW w:w="703" w:type="pct"/>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809,465.24</w:t>
            </w:r>
          </w:p>
        </w:tc>
        <w:tc>
          <w:tcPr>
            <w:tcW w:w="789" w:type="pct"/>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已计提信用减值损失部分转回</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40" w:hRule="atLeast"/>
        </w:trPr>
        <w:tc>
          <w:tcPr>
            <w:tcW w:w="2760" w:type="pc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ascii="宋体" w:hAnsi="宋体" w:eastAsia="宋体" w:cs="宋体"/>
                <w:sz w:val="18"/>
                <w:szCs w:val="18"/>
              </w:rPr>
            </w:pPr>
            <w:r>
              <w:rPr>
                <w:rFonts w:ascii="宋体" w:hAnsi="宋体" w:eastAsia="宋体" w:cs="宋体"/>
                <w:sz w:val="18"/>
                <w:szCs w:val="18"/>
              </w:rPr>
              <w:t>除上述各项之外的其他营业外收入和支出</w:t>
            </w:r>
          </w:p>
        </w:tc>
        <w:tc>
          <w:tcPr>
            <w:tcW w:w="746" w:type="pct"/>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ascii="宋体" w:hAnsi="宋体" w:eastAsia="宋体" w:cs="宋体"/>
                <w:sz w:val="18"/>
                <w:szCs w:val="18"/>
              </w:rPr>
            </w:pPr>
          </w:p>
        </w:tc>
        <w:tc>
          <w:tcPr>
            <w:tcW w:w="703" w:type="pct"/>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12,942.81</w:t>
            </w:r>
          </w:p>
        </w:tc>
        <w:tc>
          <w:tcPr>
            <w:tcW w:w="789" w:type="pct"/>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主要系收到的赔付款</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40" w:hRule="atLeast"/>
        </w:trPr>
        <w:tc>
          <w:tcPr>
            <w:tcW w:w="2760" w:type="pc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ascii="宋体" w:hAnsi="宋体" w:eastAsia="宋体" w:cs="宋体"/>
                <w:sz w:val="18"/>
                <w:szCs w:val="18"/>
              </w:rPr>
            </w:pPr>
            <w:r>
              <w:rPr>
                <w:rFonts w:ascii="宋体" w:hAnsi="宋体" w:eastAsia="宋体" w:cs="宋体"/>
                <w:sz w:val="18"/>
                <w:szCs w:val="18"/>
              </w:rPr>
              <w:t>减：所得税影响额</w:t>
            </w:r>
          </w:p>
        </w:tc>
        <w:tc>
          <w:tcPr>
            <w:tcW w:w="746" w:type="pct"/>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1,322,698.68</w:t>
            </w:r>
          </w:p>
        </w:tc>
        <w:tc>
          <w:tcPr>
            <w:tcW w:w="703" w:type="pct"/>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3,927,560.63</w:t>
            </w:r>
          </w:p>
        </w:tc>
        <w:tc>
          <w:tcPr>
            <w:tcW w:w="789" w:type="pct"/>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ascii="宋体" w:hAnsi="宋体" w:eastAsia="宋体" w:cs="宋体"/>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40" w:hRule="atLeast"/>
        </w:trPr>
        <w:tc>
          <w:tcPr>
            <w:tcW w:w="2760" w:type="pc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ascii="宋体" w:hAnsi="宋体" w:eastAsia="宋体" w:cs="宋体"/>
                <w:sz w:val="18"/>
                <w:szCs w:val="18"/>
              </w:rPr>
            </w:pPr>
            <w:r>
              <w:rPr>
                <w:rFonts w:ascii="宋体" w:hAnsi="宋体" w:eastAsia="宋体" w:cs="宋体"/>
                <w:sz w:val="18"/>
                <w:szCs w:val="18"/>
              </w:rPr>
              <w:t>合计</w:t>
            </w:r>
          </w:p>
        </w:tc>
        <w:tc>
          <w:tcPr>
            <w:tcW w:w="746" w:type="pct"/>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3,968,096.05</w:t>
            </w:r>
          </w:p>
        </w:tc>
        <w:tc>
          <w:tcPr>
            <w:tcW w:w="703" w:type="pct"/>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11,782,681.90</w:t>
            </w:r>
          </w:p>
        </w:tc>
        <w:tc>
          <w:tcPr>
            <w:tcW w:w="789" w:type="pc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ascii="宋体" w:hAnsi="宋体" w:eastAsia="宋体" w:cs="宋体"/>
                <w:sz w:val="18"/>
                <w:szCs w:val="18"/>
              </w:rPr>
            </w:pPr>
            <w:r>
              <w:rPr>
                <w:rFonts w:ascii="宋体" w:hAnsi="宋体" w:eastAsia="宋体" w:cs="宋体"/>
                <w:sz w:val="18"/>
                <w:szCs w:val="18"/>
              </w:rPr>
              <w:t>--</w:t>
            </w:r>
          </w:p>
        </w:tc>
      </w:tr>
    </w:tbl>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21"/>
          <w:szCs w:val="21"/>
        </w:rPr>
      </w:pPr>
      <w:r>
        <w:rPr>
          <w:rFonts w:ascii="宋体" w:hAnsi="宋体" w:eastAsia="宋体" w:cs="宋体"/>
          <w:sz w:val="21"/>
          <w:szCs w:val="21"/>
        </w:rPr>
        <w:t>其他符合非经常性损益定义的损益项目的具体情况：</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21"/>
          <w:szCs w:val="21"/>
        </w:rPr>
      </w:pPr>
      <w:r>
        <w:rPr>
          <w:rFonts w:ascii="宋体" w:hAnsi="宋体" w:eastAsia="宋体" w:cs="宋体"/>
          <w:sz w:val="21"/>
          <w:szCs w:val="21"/>
        </w:rPr>
        <w:t xml:space="preserve">□适用 </w:t>
      </w:r>
      <w:r>
        <w:rPr>
          <w:rFonts w:ascii="宋体" w:hAnsi="宋体" w:eastAsia="宋体" w:cs="宋体"/>
          <w:sz w:val="21"/>
          <w:szCs w:val="21"/>
        </w:rPr>
        <w:sym w:font="Wingdings 2" w:char="F052"/>
      </w:r>
      <w:r>
        <w:rPr>
          <w:rFonts w:ascii="宋体" w:hAnsi="宋体" w:eastAsia="宋体" w:cs="宋体"/>
          <w:sz w:val="21"/>
          <w:szCs w:val="21"/>
        </w:rPr>
        <w:t>不适用</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21"/>
          <w:szCs w:val="21"/>
        </w:rPr>
      </w:pPr>
      <w:r>
        <w:rPr>
          <w:rFonts w:ascii="宋体" w:hAnsi="宋体" w:eastAsia="宋体" w:cs="宋体"/>
          <w:sz w:val="21"/>
          <w:szCs w:val="21"/>
        </w:rPr>
        <w:t>公司不存在其他符合非经常性损益定义的损益项目的具体情况。</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21"/>
          <w:szCs w:val="21"/>
        </w:rPr>
      </w:pPr>
      <w:r>
        <w:rPr>
          <w:rFonts w:ascii="宋体" w:hAnsi="宋体" w:eastAsia="宋体" w:cs="宋体"/>
          <w:sz w:val="21"/>
          <w:szCs w:val="21"/>
        </w:rPr>
        <w:t>将《公开发行证券的公司信息披露解释性公告第1号——非经常性损益》中列举的非经常性损益项目界定为经常性损益项目的情况说明
</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21"/>
          <w:szCs w:val="21"/>
        </w:rPr>
      </w:pPr>
      <w:r>
        <w:rPr>
          <w:rFonts w:ascii="宋体" w:hAnsi="宋体" w:eastAsia="宋体" w:cs="宋体"/>
          <w:sz w:val="21"/>
          <w:szCs w:val="21"/>
        </w:rPr>
        <w:t xml:space="preserve">□适用 </w:t>
      </w:r>
      <w:r>
        <w:rPr>
          <w:rFonts w:ascii="宋体" w:hAnsi="宋体" w:eastAsia="宋体" w:cs="宋体"/>
          <w:sz w:val="21"/>
          <w:szCs w:val="21"/>
        </w:rPr>
        <w:sym w:font="Wingdings 2" w:char="F052"/>
      </w:r>
      <w:r>
        <w:rPr>
          <w:rFonts w:ascii="宋体" w:hAnsi="宋体" w:eastAsia="宋体" w:cs="宋体"/>
          <w:sz w:val="21"/>
          <w:szCs w:val="21"/>
        </w:rPr>
        <w:t>不适用</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21"/>
          <w:szCs w:val="21"/>
        </w:rPr>
      </w:pPr>
      <w:r>
        <w:rPr>
          <w:rFonts w:ascii="宋体" w:hAnsi="宋体" w:eastAsia="宋体" w:cs="宋体"/>
          <w:sz w:val="21"/>
          <w:szCs w:val="21"/>
        </w:rPr>
        <w:t>公司不存在将《公开发行证券的公司信息披露解释性公告第1号——非经常性损益》中列举的非经常性损益项目界定为经常性损益的项目的情形。</w:t>
      </w:r>
    </w:p>
    <w:p>
      <w:pPr>
        <w:keepNext/>
        <w:keepLines/>
        <w:pageBreakBefore w:val="0"/>
        <w:widowControl w:val="0"/>
        <w:kinsoku/>
        <w:wordWrap/>
        <w:overflowPunct/>
        <w:topLinePunct w:val="0"/>
        <w:autoSpaceDE/>
        <w:autoSpaceDN/>
        <w:bidi w:val="0"/>
        <w:adjustRightInd/>
        <w:snapToGrid/>
        <w:spacing w:before="200" w:after="200" w:line="280" w:lineRule="exact"/>
        <w:jc w:val="left"/>
        <w:textAlignment w:val="auto"/>
        <w:outlineLvl w:val="1"/>
        <w:rPr>
          <w:rFonts w:ascii="宋体" w:hAnsi="宋体" w:eastAsia="宋体" w:cs="宋体"/>
          <w:b/>
          <w:bCs/>
          <w:sz w:val="21"/>
          <w:szCs w:val="21"/>
        </w:rPr>
      </w:pPr>
      <w:bookmarkStart w:id="3" w:name="_Toc988892"/>
      <w:r>
        <w:rPr>
          <w:rFonts w:ascii="宋体" w:hAnsi="宋体" w:eastAsia="宋体" w:cs="宋体"/>
          <w:b/>
          <w:bCs/>
          <w:sz w:val="21"/>
          <w:szCs w:val="21"/>
        </w:rPr>
        <w:t>（三）主要会计数据和财务指标发生变动的情况及原因</w:t>
      </w:r>
      <w:bookmarkEnd w:id="3"/>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21"/>
          <w:szCs w:val="21"/>
        </w:rPr>
      </w:pPr>
      <w:r>
        <w:rPr>
          <w:rFonts w:ascii="宋体" w:hAnsi="宋体" w:eastAsia="宋体" w:cs="宋体"/>
          <w:sz w:val="21"/>
          <w:szCs w:val="21"/>
        </w:rPr>
        <w:sym w:font="Wingdings 2" w:char="F052"/>
      </w:r>
      <w:r>
        <w:rPr>
          <w:rFonts w:ascii="宋体" w:hAnsi="宋体" w:eastAsia="宋体" w:cs="宋体"/>
          <w:sz w:val="21"/>
          <w:szCs w:val="21"/>
        </w:rPr>
        <w:t>适用 □不适用</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21"/>
          <w:szCs w:val="21"/>
        </w:rPr>
      </w:pPr>
      <w:r>
        <w:rPr>
          <w:rFonts w:hint="eastAsia" w:ascii="宋体" w:hAnsi="宋体" w:eastAsia="宋体" w:cs="宋体"/>
          <w:sz w:val="21"/>
          <w:szCs w:val="21"/>
        </w:rPr>
        <w:t>一、资产负债表项目</w:t>
      </w:r>
    </w:p>
    <w:p>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ascii="宋体" w:hAnsi="宋体" w:eastAsia="宋体" w:cs="宋体"/>
          <w:sz w:val="18"/>
          <w:szCs w:val="18"/>
        </w:rPr>
      </w:pPr>
      <w:r>
        <w:rPr>
          <w:rFonts w:hint="eastAsia" w:ascii="宋体" w:hAnsi="宋体" w:eastAsia="宋体" w:cs="宋体"/>
          <w:sz w:val="18"/>
          <w:szCs w:val="18"/>
        </w:rPr>
        <w:t>单位：元</w:t>
      </w: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36"/>
        <w:gridCol w:w="1540"/>
        <w:gridCol w:w="1426"/>
        <w:gridCol w:w="1184"/>
        <w:gridCol w:w="40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743" w:type="pct"/>
            <w:tcBorders>
              <w:top w:val="single" w:color="000000" w:sz="4" w:space="0"/>
              <w:left w:val="single" w:color="000000" w:sz="4" w:space="0"/>
              <w:bottom w:val="single" w:color="000000" w:sz="4" w:space="0"/>
              <w:right w:val="single" w:color="000000" w:sz="4" w:space="0"/>
            </w:tcBorders>
            <w:shd w:val="clear" w:color="auto" w:fill="D7D7D7"/>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w:t>
            </w:r>
          </w:p>
        </w:tc>
        <w:tc>
          <w:tcPr>
            <w:tcW w:w="796" w:type="pct"/>
            <w:tcBorders>
              <w:top w:val="single" w:color="000000" w:sz="4" w:space="0"/>
              <w:left w:val="single" w:color="000000" w:sz="4" w:space="0"/>
              <w:bottom w:val="single" w:color="000000" w:sz="4" w:space="0"/>
              <w:right w:val="single" w:color="000000" w:sz="4" w:space="0"/>
            </w:tcBorders>
            <w:shd w:val="clear" w:color="auto" w:fill="D7D7D7"/>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2024年9月30日</w:t>
            </w:r>
          </w:p>
        </w:tc>
        <w:tc>
          <w:tcPr>
            <w:tcW w:w="737" w:type="pct"/>
            <w:tcBorders>
              <w:top w:val="single" w:color="000000" w:sz="4" w:space="0"/>
              <w:left w:val="single" w:color="000000" w:sz="4" w:space="0"/>
              <w:bottom w:val="single" w:color="000000" w:sz="4" w:space="0"/>
              <w:right w:val="single" w:color="000000" w:sz="4" w:space="0"/>
            </w:tcBorders>
            <w:shd w:val="clear" w:color="auto" w:fill="D7D7D7"/>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2024年1月1日</w:t>
            </w:r>
          </w:p>
        </w:tc>
        <w:tc>
          <w:tcPr>
            <w:tcW w:w="612" w:type="pct"/>
            <w:tcBorders>
              <w:top w:val="single" w:color="000000" w:sz="4" w:space="0"/>
              <w:left w:val="single" w:color="000000" w:sz="4" w:space="0"/>
              <w:bottom w:val="single" w:color="000000" w:sz="4" w:space="0"/>
              <w:right w:val="single" w:color="000000" w:sz="4" w:space="0"/>
            </w:tcBorders>
            <w:shd w:val="clear" w:color="auto" w:fill="D7D7D7"/>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增减变动率</w:t>
            </w:r>
          </w:p>
        </w:tc>
        <w:tc>
          <w:tcPr>
            <w:tcW w:w="2110" w:type="pct"/>
            <w:tcBorders>
              <w:top w:val="single" w:color="000000" w:sz="4" w:space="0"/>
              <w:left w:val="single" w:color="000000" w:sz="4" w:space="0"/>
              <w:bottom w:val="single" w:color="000000" w:sz="4" w:space="0"/>
              <w:right w:val="single" w:color="000000" w:sz="4" w:space="0"/>
            </w:tcBorders>
            <w:shd w:val="clear" w:color="auto" w:fill="D7D7D7"/>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情况说明、主要原因分析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应收票据</w:t>
            </w:r>
          </w:p>
        </w:tc>
        <w:tc>
          <w:tcPr>
            <w:tcW w:w="7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2,170,333.43</w:t>
            </w:r>
          </w:p>
        </w:tc>
        <w:tc>
          <w:tcPr>
            <w:tcW w:w="7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8,798,112.20</w:t>
            </w:r>
          </w:p>
        </w:tc>
        <w:tc>
          <w:tcPr>
            <w:tcW w:w="6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-75.33%</w:t>
            </w:r>
          </w:p>
        </w:tc>
        <w:tc>
          <w:tcPr>
            <w:tcW w:w="21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主要系应收票据背书支付货款所致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预付款项</w:t>
            </w:r>
          </w:p>
        </w:tc>
        <w:tc>
          <w:tcPr>
            <w:tcW w:w="7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2,387,798.83</w:t>
            </w:r>
          </w:p>
        </w:tc>
        <w:tc>
          <w:tcPr>
            <w:tcW w:w="7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584,490.48</w:t>
            </w:r>
          </w:p>
        </w:tc>
        <w:tc>
          <w:tcPr>
            <w:tcW w:w="6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308.53%</w:t>
            </w:r>
          </w:p>
        </w:tc>
        <w:tc>
          <w:tcPr>
            <w:tcW w:w="21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主要系预付设备款、材料款、保证金等增加所致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其他应收款</w:t>
            </w:r>
          </w:p>
        </w:tc>
        <w:tc>
          <w:tcPr>
            <w:tcW w:w="7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112,718.40</w:t>
            </w:r>
          </w:p>
        </w:tc>
        <w:tc>
          <w:tcPr>
            <w:tcW w:w="7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1,628,815.31</w:t>
            </w:r>
          </w:p>
        </w:tc>
        <w:tc>
          <w:tcPr>
            <w:tcW w:w="6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-93.08%</w:t>
            </w:r>
          </w:p>
        </w:tc>
        <w:tc>
          <w:tcPr>
            <w:tcW w:w="21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主要系本报告期内收回房租所致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存货</w:t>
            </w:r>
          </w:p>
        </w:tc>
        <w:tc>
          <w:tcPr>
            <w:tcW w:w="7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34,918,484.87</w:t>
            </w:r>
          </w:p>
        </w:tc>
        <w:tc>
          <w:tcPr>
            <w:tcW w:w="7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26,064,134.00</w:t>
            </w:r>
          </w:p>
        </w:tc>
        <w:tc>
          <w:tcPr>
            <w:tcW w:w="6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33.97%</w:t>
            </w:r>
          </w:p>
        </w:tc>
        <w:tc>
          <w:tcPr>
            <w:tcW w:w="21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根据市场变化和需求，合理调整库存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一年内到期的非流动资产</w:t>
            </w:r>
          </w:p>
        </w:tc>
        <w:tc>
          <w:tcPr>
            <w:tcW w:w="7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7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30,050,250.00</w:t>
            </w:r>
          </w:p>
        </w:tc>
        <w:tc>
          <w:tcPr>
            <w:tcW w:w="6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21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主要系本报告期内大额存单到期赎回所致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其他流动资产</w:t>
            </w:r>
          </w:p>
        </w:tc>
        <w:tc>
          <w:tcPr>
            <w:tcW w:w="7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7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231,397.29</w:t>
            </w:r>
          </w:p>
        </w:tc>
        <w:tc>
          <w:tcPr>
            <w:tcW w:w="6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21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主要系同期应交税费重分类到其他流动资产所致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合同负债</w:t>
            </w:r>
          </w:p>
        </w:tc>
        <w:tc>
          <w:tcPr>
            <w:tcW w:w="7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20,057,108.57</w:t>
            </w:r>
          </w:p>
        </w:tc>
        <w:tc>
          <w:tcPr>
            <w:tcW w:w="7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29,412,547.01</w:t>
            </w:r>
          </w:p>
        </w:tc>
        <w:tc>
          <w:tcPr>
            <w:tcW w:w="6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-31.81%</w:t>
            </w:r>
          </w:p>
        </w:tc>
        <w:tc>
          <w:tcPr>
            <w:tcW w:w="21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主要系</w:t>
            </w:r>
            <w:r>
              <w:rPr>
                <w:rFonts w:hint="eastAsia" w:ascii="宋体" w:hAnsi="宋体" w:cs="宋体"/>
                <w:i w:val="0"/>
                <w:iCs w:val="0"/>
                <w:color w:val="000000"/>
                <w:kern w:val="0"/>
                <w:sz w:val="18"/>
                <w:szCs w:val="18"/>
                <w:u w:val="none"/>
                <w:lang w:val="en-US" w:eastAsia="zh-CN" w:bidi="ar"/>
              </w:rPr>
              <w:t>预收货款减少所致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应交税费</w:t>
            </w:r>
          </w:p>
        </w:tc>
        <w:tc>
          <w:tcPr>
            <w:tcW w:w="7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7,340,339.83</w:t>
            </w:r>
          </w:p>
        </w:tc>
        <w:tc>
          <w:tcPr>
            <w:tcW w:w="7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2,592,043.70</w:t>
            </w:r>
          </w:p>
        </w:tc>
        <w:tc>
          <w:tcPr>
            <w:tcW w:w="6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183.19%</w:t>
            </w:r>
          </w:p>
        </w:tc>
        <w:tc>
          <w:tcPr>
            <w:tcW w:w="21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主要系原材料采购价格降低，进项税额减少所致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其他应付款</w:t>
            </w:r>
          </w:p>
        </w:tc>
        <w:tc>
          <w:tcPr>
            <w:tcW w:w="7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13,531,375.83</w:t>
            </w:r>
          </w:p>
        </w:tc>
        <w:tc>
          <w:tcPr>
            <w:tcW w:w="7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10,754,518.74</w:t>
            </w:r>
          </w:p>
        </w:tc>
        <w:tc>
          <w:tcPr>
            <w:tcW w:w="6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25.82%</w:t>
            </w:r>
          </w:p>
        </w:tc>
        <w:tc>
          <w:tcPr>
            <w:tcW w:w="21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主要系应付股利等相关费用增加所致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其他流动负债</w:t>
            </w:r>
          </w:p>
        </w:tc>
        <w:tc>
          <w:tcPr>
            <w:tcW w:w="7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762,668.43</w:t>
            </w:r>
          </w:p>
        </w:tc>
        <w:tc>
          <w:tcPr>
            <w:tcW w:w="7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1,309,429.29</w:t>
            </w:r>
          </w:p>
        </w:tc>
        <w:tc>
          <w:tcPr>
            <w:tcW w:w="6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-41.76%</w:t>
            </w:r>
          </w:p>
        </w:tc>
        <w:tc>
          <w:tcPr>
            <w:tcW w:w="21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主要系待转销项税额减少所致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实收资本（或股本）</w:t>
            </w:r>
          </w:p>
        </w:tc>
        <w:tc>
          <w:tcPr>
            <w:tcW w:w="7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194,983,750.00</w:t>
            </w:r>
          </w:p>
        </w:tc>
        <w:tc>
          <w:tcPr>
            <w:tcW w:w="7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149,987,500.00</w:t>
            </w:r>
          </w:p>
        </w:tc>
        <w:tc>
          <w:tcPr>
            <w:tcW w:w="6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21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主要系资本公积金转增股本所致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专项储备</w:t>
            </w:r>
          </w:p>
        </w:tc>
        <w:tc>
          <w:tcPr>
            <w:tcW w:w="7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826,615.34</w:t>
            </w:r>
          </w:p>
        </w:tc>
        <w:tc>
          <w:tcPr>
            <w:tcW w:w="7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586,618.79</w:t>
            </w:r>
          </w:p>
        </w:tc>
        <w:tc>
          <w:tcPr>
            <w:tcW w:w="6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40.91%</w:t>
            </w:r>
          </w:p>
        </w:tc>
        <w:tc>
          <w:tcPr>
            <w:tcW w:w="21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主要系计提安全生产费所致</w:t>
            </w:r>
          </w:p>
        </w:tc>
      </w:tr>
    </w:tbl>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21"/>
          <w:szCs w:val="21"/>
        </w:rPr>
      </w:pPr>
      <w:r>
        <w:rPr>
          <w:rFonts w:hint="eastAsia" w:ascii="宋体" w:hAnsi="宋体" w:eastAsia="宋体" w:cs="宋体"/>
          <w:sz w:val="21"/>
          <w:szCs w:val="21"/>
        </w:rPr>
        <w:t>二、利润表项目</w:t>
      </w:r>
    </w:p>
    <w:p>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ascii="宋体" w:hAnsi="宋体" w:eastAsia="宋体" w:cs="宋体"/>
          <w:sz w:val="18"/>
          <w:szCs w:val="18"/>
        </w:rPr>
      </w:pPr>
      <w:r>
        <w:rPr>
          <w:rFonts w:hint="eastAsia" w:ascii="宋体" w:hAnsi="宋体" w:eastAsia="宋体" w:cs="宋体"/>
          <w:sz w:val="18"/>
          <w:szCs w:val="18"/>
        </w:rPr>
        <w:t>单位：元</w:t>
      </w:r>
    </w:p>
    <w:tbl>
      <w:tblPr>
        <w:tblStyle w:val="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2061"/>
        <w:gridCol w:w="1510"/>
        <w:gridCol w:w="1409"/>
        <w:gridCol w:w="1121"/>
        <w:gridCol w:w="35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69" w:hRule="atLeast"/>
        </w:trPr>
        <w:tc>
          <w:tcPr>
            <w:tcW w:w="2061" w:type="dxa"/>
            <w:shd w:val="clear" w:color="auto" w:fill="D7D7D7" w:themeFill="background1" w:themeFillShade="D8"/>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w:t>
            </w:r>
          </w:p>
        </w:tc>
        <w:tc>
          <w:tcPr>
            <w:tcW w:w="1510" w:type="dxa"/>
            <w:shd w:val="clear" w:color="auto" w:fill="D7D7D7" w:themeFill="background1" w:themeFillShade="D8"/>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2024年1-9月</w:t>
            </w:r>
          </w:p>
        </w:tc>
        <w:tc>
          <w:tcPr>
            <w:tcW w:w="1409" w:type="dxa"/>
            <w:shd w:val="clear" w:color="auto" w:fill="D7D7D7"/>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2023年1-9月</w:t>
            </w:r>
          </w:p>
        </w:tc>
        <w:tc>
          <w:tcPr>
            <w:tcW w:w="580" w:type="pct"/>
            <w:shd w:val="clear" w:color="auto" w:fill="D7D7D7"/>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增减变动率</w:t>
            </w:r>
          </w:p>
        </w:tc>
        <w:tc>
          <w:tcPr>
            <w:tcW w:w="1842" w:type="pct"/>
            <w:shd w:val="clear" w:color="auto" w:fill="D7D7D7"/>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情况说明、主要原因分析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066" w:type="pct"/>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销售费用</w:t>
            </w:r>
          </w:p>
        </w:tc>
        <w:tc>
          <w:tcPr>
            <w:tcW w:w="781" w:type="pct"/>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21,562,071.42</w:t>
            </w:r>
          </w:p>
        </w:tc>
        <w:tc>
          <w:tcPr>
            <w:tcW w:w="729" w:type="pct"/>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13,406,121.77</w:t>
            </w:r>
          </w:p>
        </w:tc>
        <w:tc>
          <w:tcPr>
            <w:tcW w:w="580" w:type="pct"/>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60.84%</w:t>
            </w:r>
          </w:p>
        </w:tc>
        <w:tc>
          <w:tcPr>
            <w:tcW w:w="184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主要系本报告期内促销费用增加所致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066" w:type="pct"/>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其他收益</w:t>
            </w:r>
          </w:p>
        </w:tc>
        <w:tc>
          <w:tcPr>
            <w:tcW w:w="781" w:type="pct"/>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367,659.13</w:t>
            </w:r>
          </w:p>
        </w:tc>
        <w:tc>
          <w:tcPr>
            <w:tcW w:w="729" w:type="pct"/>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1,179,857.86</w:t>
            </w:r>
          </w:p>
        </w:tc>
        <w:tc>
          <w:tcPr>
            <w:tcW w:w="580" w:type="pct"/>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-68.84%</w:t>
            </w:r>
          </w:p>
        </w:tc>
        <w:tc>
          <w:tcPr>
            <w:tcW w:w="184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主要系本报告期内政府补助减少所致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066" w:type="pct"/>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投资收益</w:t>
            </w:r>
          </w:p>
        </w:tc>
        <w:tc>
          <w:tcPr>
            <w:tcW w:w="781" w:type="pct"/>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11,111,418.70</w:t>
            </w:r>
          </w:p>
        </w:tc>
        <w:tc>
          <w:tcPr>
            <w:tcW w:w="729" w:type="pct"/>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15,460,070.24</w:t>
            </w:r>
          </w:p>
        </w:tc>
        <w:tc>
          <w:tcPr>
            <w:tcW w:w="580" w:type="pct"/>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-28.13%</w:t>
            </w:r>
          </w:p>
        </w:tc>
        <w:tc>
          <w:tcPr>
            <w:tcW w:w="184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主要系购买结构性存款收益减少等因素所致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066" w:type="pct"/>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公允价值变动损益</w:t>
            </w:r>
          </w:p>
        </w:tc>
        <w:tc>
          <w:tcPr>
            <w:tcW w:w="781" w:type="pct"/>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1,313,068.49</w:t>
            </w:r>
          </w:p>
        </w:tc>
        <w:tc>
          <w:tcPr>
            <w:tcW w:w="729" w:type="pct"/>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1,976,517.81</w:t>
            </w:r>
          </w:p>
        </w:tc>
        <w:tc>
          <w:tcPr>
            <w:tcW w:w="580" w:type="pct"/>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-33.57%</w:t>
            </w:r>
          </w:p>
        </w:tc>
        <w:tc>
          <w:tcPr>
            <w:tcW w:w="184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主要系未到期结构性存款预期收益减少所致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066" w:type="pct"/>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信用减值损失</w:t>
            </w:r>
          </w:p>
        </w:tc>
        <w:tc>
          <w:tcPr>
            <w:tcW w:w="781" w:type="pct"/>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718,436.24</w:t>
            </w:r>
          </w:p>
        </w:tc>
        <w:tc>
          <w:tcPr>
            <w:tcW w:w="729" w:type="pct"/>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45,757.02</w:t>
            </w:r>
          </w:p>
        </w:tc>
        <w:tc>
          <w:tcPr>
            <w:tcW w:w="580" w:type="pct"/>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1470.11%</w:t>
            </w:r>
          </w:p>
        </w:tc>
        <w:tc>
          <w:tcPr>
            <w:tcW w:w="184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主要系其他应收款坏账准备转回所致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066" w:type="pct"/>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资产减值损失</w:t>
            </w:r>
          </w:p>
        </w:tc>
        <w:tc>
          <w:tcPr>
            <w:tcW w:w="781" w:type="pct"/>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404,671.23</w:t>
            </w:r>
          </w:p>
        </w:tc>
        <w:tc>
          <w:tcPr>
            <w:tcW w:w="729" w:type="pct"/>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-112,850.52</w:t>
            </w:r>
          </w:p>
        </w:tc>
        <w:tc>
          <w:tcPr>
            <w:tcW w:w="580" w:type="pct"/>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458.59%</w:t>
            </w:r>
          </w:p>
        </w:tc>
        <w:tc>
          <w:tcPr>
            <w:tcW w:w="184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主要系存货跌价准备转回所致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066" w:type="pct"/>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营业外收入</w:t>
            </w:r>
          </w:p>
        </w:tc>
        <w:tc>
          <w:tcPr>
            <w:tcW w:w="781" w:type="pct"/>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12,942.81</w:t>
            </w:r>
          </w:p>
        </w:tc>
        <w:tc>
          <w:tcPr>
            <w:tcW w:w="729" w:type="pct"/>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55,494.63</w:t>
            </w:r>
          </w:p>
        </w:tc>
        <w:tc>
          <w:tcPr>
            <w:tcW w:w="580" w:type="pct"/>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-76.68%</w:t>
            </w:r>
          </w:p>
        </w:tc>
        <w:tc>
          <w:tcPr>
            <w:tcW w:w="184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主要系赔付款较去年同期减少所致</w:t>
            </w:r>
          </w:p>
        </w:tc>
      </w:tr>
    </w:tbl>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三、现金流量表项目</w:t>
      </w:r>
    </w:p>
    <w:p>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eastAsia="宋体" w:cs="宋体"/>
          <w:sz w:val="18"/>
          <w:szCs w:val="18"/>
        </w:rPr>
      </w:pPr>
      <w:r>
        <w:rPr>
          <w:rFonts w:hint="eastAsia" w:ascii="宋体" w:hAnsi="宋体" w:eastAsia="宋体" w:cs="宋体"/>
          <w:sz w:val="18"/>
          <w:szCs w:val="18"/>
        </w:rPr>
        <w:t>单位：元</w:t>
      </w:r>
    </w:p>
    <w:tbl>
      <w:tblPr>
        <w:tblStyle w:val="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2386"/>
        <w:gridCol w:w="1206"/>
        <w:gridCol w:w="1299"/>
        <w:gridCol w:w="936"/>
        <w:gridCol w:w="38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69" w:hRule="atLeast"/>
        </w:trPr>
        <w:tc>
          <w:tcPr>
            <w:tcW w:w="1234" w:type="pct"/>
            <w:shd w:val="clear" w:color="auto" w:fill="D7D7D7"/>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w:t>
            </w:r>
          </w:p>
        </w:tc>
        <w:tc>
          <w:tcPr>
            <w:tcW w:w="624" w:type="pct"/>
            <w:shd w:val="clear" w:color="auto" w:fill="D7D7D7"/>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2024年1-9月</w:t>
            </w:r>
          </w:p>
        </w:tc>
        <w:tc>
          <w:tcPr>
            <w:tcW w:w="672" w:type="pct"/>
            <w:shd w:val="clear" w:color="auto" w:fill="D7D7D7"/>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2023年1-9月</w:t>
            </w:r>
          </w:p>
        </w:tc>
        <w:tc>
          <w:tcPr>
            <w:tcW w:w="484" w:type="pct"/>
            <w:shd w:val="clear" w:color="auto" w:fill="D7D7D7"/>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增减变动率</w:t>
            </w:r>
          </w:p>
        </w:tc>
        <w:tc>
          <w:tcPr>
            <w:tcW w:w="1984" w:type="pct"/>
            <w:shd w:val="clear" w:color="auto" w:fill="D7D7D7"/>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情况说明、主要原因分析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234" w:type="pct"/>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经营活动产生的现金流量净额</w:t>
            </w:r>
          </w:p>
        </w:tc>
        <w:tc>
          <w:tcPr>
            <w:tcW w:w="624" w:type="pct"/>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61,896,437.17</w:t>
            </w:r>
          </w:p>
        </w:tc>
        <w:tc>
          <w:tcPr>
            <w:tcW w:w="672" w:type="pct"/>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41,635,728.23</w:t>
            </w:r>
          </w:p>
        </w:tc>
        <w:tc>
          <w:tcPr>
            <w:tcW w:w="484" w:type="pct"/>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48.66%</w:t>
            </w:r>
          </w:p>
        </w:tc>
        <w:tc>
          <w:tcPr>
            <w:tcW w:w="198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主要系报告期内收到的货款增加所致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234" w:type="pct"/>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投资活动产生的现金流量净额</w:t>
            </w:r>
          </w:p>
        </w:tc>
        <w:tc>
          <w:tcPr>
            <w:tcW w:w="624" w:type="pct"/>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28,693,712.38</w:t>
            </w:r>
          </w:p>
        </w:tc>
        <w:tc>
          <w:tcPr>
            <w:tcW w:w="672" w:type="pct"/>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-56,939,795.96</w:t>
            </w:r>
          </w:p>
        </w:tc>
        <w:tc>
          <w:tcPr>
            <w:tcW w:w="484" w:type="pct"/>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150.39%</w:t>
            </w:r>
          </w:p>
        </w:tc>
        <w:tc>
          <w:tcPr>
            <w:tcW w:w="198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主要系赎回到期结构性存款较去年同期增加所致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234" w:type="pct"/>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汇率变动对现金的影响额</w:t>
            </w:r>
          </w:p>
        </w:tc>
        <w:tc>
          <w:tcPr>
            <w:tcW w:w="624" w:type="pct"/>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-239,053.65</w:t>
            </w:r>
          </w:p>
        </w:tc>
        <w:tc>
          <w:tcPr>
            <w:tcW w:w="672" w:type="pct"/>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23,428.97</w:t>
            </w:r>
          </w:p>
        </w:tc>
        <w:tc>
          <w:tcPr>
            <w:tcW w:w="484" w:type="pct"/>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-1120.33%</w:t>
            </w:r>
          </w:p>
        </w:tc>
        <w:tc>
          <w:tcPr>
            <w:tcW w:w="198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主要系本报告期内货币汇率较去年同期下降所致</w:t>
            </w:r>
          </w:p>
        </w:tc>
      </w:tr>
    </w:tbl>
    <w:p>
      <w:pPr>
        <w:keepNext/>
        <w:keepLines/>
        <w:pageBreakBefore w:val="0"/>
        <w:widowControl w:val="0"/>
        <w:kinsoku/>
        <w:wordWrap/>
        <w:overflowPunct/>
        <w:topLinePunct w:val="0"/>
        <w:autoSpaceDE/>
        <w:autoSpaceDN/>
        <w:bidi w:val="0"/>
        <w:adjustRightInd/>
        <w:snapToGrid/>
        <w:spacing w:before="200" w:after="200" w:line="320" w:lineRule="exact"/>
        <w:jc w:val="left"/>
        <w:textAlignment w:val="auto"/>
        <w:outlineLvl w:val="0"/>
        <w:rPr>
          <w:rFonts w:ascii="宋体" w:hAnsi="宋体" w:eastAsia="宋体" w:cs="宋体"/>
          <w:b/>
          <w:bCs/>
          <w:sz w:val="24"/>
          <w:szCs w:val="24"/>
        </w:rPr>
      </w:pPr>
      <w:bookmarkStart w:id="4" w:name="_Toc988893"/>
      <w:r>
        <w:rPr>
          <w:rFonts w:ascii="宋体" w:hAnsi="宋体" w:eastAsia="宋体" w:cs="宋体"/>
          <w:b/>
          <w:bCs/>
          <w:sz w:val="24"/>
          <w:szCs w:val="24"/>
        </w:rPr>
        <w:t>二、股东信息</w:t>
      </w:r>
      <w:bookmarkEnd w:id="4"/>
    </w:p>
    <w:p>
      <w:pPr>
        <w:keepNext/>
        <w:keepLines/>
        <w:pageBreakBefore w:val="0"/>
        <w:widowControl w:val="0"/>
        <w:kinsoku/>
        <w:wordWrap/>
        <w:overflowPunct/>
        <w:topLinePunct w:val="0"/>
        <w:autoSpaceDE/>
        <w:autoSpaceDN/>
        <w:bidi w:val="0"/>
        <w:adjustRightInd/>
        <w:snapToGrid/>
        <w:spacing w:before="200" w:after="200" w:line="280" w:lineRule="exact"/>
        <w:jc w:val="left"/>
        <w:textAlignment w:val="auto"/>
        <w:outlineLvl w:val="1"/>
        <w:rPr>
          <w:rFonts w:ascii="宋体" w:hAnsi="宋体" w:eastAsia="宋体" w:cs="宋体"/>
          <w:b/>
          <w:bCs/>
          <w:sz w:val="21"/>
          <w:szCs w:val="21"/>
        </w:rPr>
      </w:pPr>
      <w:bookmarkStart w:id="5" w:name="_Toc988894"/>
      <w:r>
        <w:rPr>
          <w:rFonts w:ascii="宋体" w:hAnsi="宋体" w:eastAsia="宋体" w:cs="宋体"/>
          <w:b/>
          <w:bCs/>
          <w:sz w:val="21"/>
          <w:szCs w:val="21"/>
        </w:rPr>
        <w:t>（一）普通股股东总数和表决权恢复的优先股股东数量及前十名股东持股情况表</w:t>
      </w:r>
      <w:bookmarkEnd w:id="5"/>
    </w:p>
    <w:p>
      <w:pPr>
        <w:spacing w:before="40" w:after="40" w:line="240" w:lineRule="exact"/>
        <w:jc w:val="right"/>
        <w:rPr>
          <w:rFonts w:ascii="宋体" w:hAnsi="宋体" w:eastAsia="宋体" w:cs="宋体"/>
          <w:sz w:val="18"/>
          <w:szCs w:val="18"/>
        </w:rPr>
      </w:pPr>
      <w:r>
        <w:rPr>
          <w:rFonts w:ascii="宋体" w:hAnsi="宋体" w:eastAsia="宋体" w:cs="宋体"/>
          <w:sz w:val="18"/>
          <w:szCs w:val="18"/>
        </w:rPr>
        <w:t>单位：股</w:t>
      </w:r>
    </w:p>
    <w:tbl>
      <w:tblPr>
        <w:tblStyle w:val="3"/>
        <w:tblW w:w="498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1478"/>
        <w:gridCol w:w="984"/>
        <w:gridCol w:w="1188"/>
        <w:gridCol w:w="1267"/>
        <w:gridCol w:w="1322"/>
        <w:gridCol w:w="452"/>
        <w:gridCol w:w="6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06" w:type="pct"/>
            <w:gridSpan w:val="2"/>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报告期末普通股股东总数</w:t>
            </w:r>
          </w:p>
        </w:tc>
        <w:tc>
          <w:tcPr>
            <w:tcW w:w="501"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16,712</w:t>
            </w:r>
          </w:p>
        </w:tc>
        <w:tc>
          <w:tcPr>
            <w:tcW w:w="2153" w:type="pct"/>
            <w:gridSpan w:val="4"/>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报告期末表决权恢复的优先股股东总数（如有）</w:t>
            </w:r>
          </w:p>
        </w:tc>
        <w:tc>
          <w:tcPr>
            <w:tcW w:w="339"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8"/>
            <w:shd w:val="clear" w:color="auto" w:fill="D3D3D3"/>
            <w:vAlign w:val="center"/>
          </w:tcPr>
          <w:p>
            <w:pPr>
              <w:spacing w:before="0" w:after="0" w:line="240" w:lineRule="exact"/>
              <w:jc w:val="center"/>
              <w:rPr>
                <w:rFonts w:ascii="宋体" w:hAnsi="宋体" w:eastAsia="宋体" w:cs="宋体"/>
                <w:sz w:val="18"/>
                <w:szCs w:val="18"/>
              </w:rPr>
            </w:pPr>
            <w:r>
              <w:rPr>
                <w:rFonts w:ascii="宋体" w:hAnsi="宋体" w:eastAsia="宋体" w:cs="宋体"/>
                <w:sz w:val="18"/>
                <w:szCs w:val="18"/>
              </w:rPr>
              <w:t>前10名股东持股情况（不含通过转融通出借股份）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3" w:type="pct"/>
            <w:vMerge w:val="restart"/>
            <w:shd w:val="clear" w:color="auto" w:fill="D3D3D3"/>
            <w:vAlign w:val="center"/>
          </w:tcPr>
          <w:p>
            <w:pPr>
              <w:spacing w:before="0" w:after="0" w:line="240" w:lineRule="exact"/>
              <w:jc w:val="center"/>
              <w:rPr>
                <w:rFonts w:ascii="宋体" w:hAnsi="宋体" w:eastAsia="宋体" w:cs="宋体"/>
                <w:sz w:val="18"/>
                <w:szCs w:val="18"/>
              </w:rPr>
            </w:pPr>
            <w:r>
              <w:rPr>
                <w:rFonts w:ascii="宋体" w:hAnsi="宋体" w:eastAsia="宋体" w:cs="宋体"/>
                <w:sz w:val="18"/>
                <w:szCs w:val="18"/>
              </w:rPr>
              <w:t>股东名称</w:t>
            </w:r>
          </w:p>
        </w:tc>
        <w:tc>
          <w:tcPr>
            <w:tcW w:w="752" w:type="pct"/>
            <w:vMerge w:val="restart"/>
            <w:shd w:val="clear" w:color="auto" w:fill="D3D3D3"/>
            <w:vAlign w:val="center"/>
          </w:tcPr>
          <w:p>
            <w:pPr>
              <w:spacing w:before="0" w:after="0" w:line="240" w:lineRule="exact"/>
              <w:jc w:val="center"/>
              <w:rPr>
                <w:rFonts w:ascii="宋体" w:hAnsi="宋体" w:eastAsia="宋体" w:cs="宋体"/>
                <w:sz w:val="18"/>
                <w:szCs w:val="18"/>
              </w:rPr>
            </w:pPr>
            <w:r>
              <w:rPr>
                <w:rFonts w:ascii="宋体" w:hAnsi="宋体" w:eastAsia="宋体" w:cs="宋体"/>
                <w:sz w:val="18"/>
                <w:szCs w:val="18"/>
              </w:rPr>
              <w:t>股东性质</w:t>
            </w:r>
          </w:p>
        </w:tc>
        <w:tc>
          <w:tcPr>
            <w:tcW w:w="501" w:type="pct"/>
            <w:vMerge w:val="restart"/>
            <w:shd w:val="clear" w:color="auto" w:fill="D3D3D3"/>
            <w:vAlign w:val="center"/>
          </w:tcPr>
          <w:p>
            <w:pPr>
              <w:spacing w:before="0" w:after="0" w:line="240" w:lineRule="exact"/>
              <w:jc w:val="center"/>
              <w:rPr>
                <w:rFonts w:ascii="宋体" w:hAnsi="宋体" w:eastAsia="宋体" w:cs="宋体"/>
                <w:sz w:val="18"/>
                <w:szCs w:val="18"/>
              </w:rPr>
            </w:pPr>
            <w:r>
              <w:rPr>
                <w:rFonts w:ascii="宋体" w:hAnsi="宋体" w:eastAsia="宋体" w:cs="宋体"/>
                <w:sz w:val="18"/>
                <w:szCs w:val="18"/>
              </w:rPr>
              <w:t>持股比例</w:t>
            </w:r>
          </w:p>
        </w:tc>
        <w:tc>
          <w:tcPr>
            <w:tcW w:w="605" w:type="pct"/>
            <w:vMerge w:val="restart"/>
            <w:shd w:val="clear" w:color="auto" w:fill="D3D3D3"/>
            <w:vAlign w:val="center"/>
          </w:tcPr>
          <w:p>
            <w:pPr>
              <w:spacing w:before="0" w:after="0" w:line="240" w:lineRule="exact"/>
              <w:jc w:val="center"/>
              <w:rPr>
                <w:rFonts w:ascii="宋体" w:hAnsi="宋体" w:eastAsia="宋体" w:cs="宋体"/>
                <w:sz w:val="18"/>
                <w:szCs w:val="18"/>
              </w:rPr>
            </w:pPr>
            <w:r>
              <w:rPr>
                <w:rFonts w:ascii="宋体" w:hAnsi="宋体" w:eastAsia="宋体" w:cs="宋体"/>
                <w:sz w:val="18"/>
                <w:szCs w:val="18"/>
              </w:rPr>
              <w:t>持股数量</w:t>
            </w:r>
          </w:p>
        </w:tc>
        <w:tc>
          <w:tcPr>
            <w:tcW w:w="645" w:type="pct"/>
            <w:vMerge w:val="restart"/>
            <w:shd w:val="clear" w:color="auto" w:fill="D3D3D3"/>
            <w:vAlign w:val="center"/>
          </w:tcPr>
          <w:p>
            <w:pPr>
              <w:spacing w:before="0" w:after="0" w:line="240" w:lineRule="exact"/>
              <w:jc w:val="center"/>
              <w:rPr>
                <w:rFonts w:ascii="宋体" w:hAnsi="宋体" w:eastAsia="宋体" w:cs="宋体"/>
                <w:sz w:val="18"/>
                <w:szCs w:val="18"/>
              </w:rPr>
            </w:pPr>
            <w:r>
              <w:rPr>
                <w:rFonts w:ascii="宋体" w:hAnsi="宋体" w:eastAsia="宋体" w:cs="宋体"/>
                <w:sz w:val="18"/>
                <w:szCs w:val="18"/>
              </w:rPr>
              <w:t>持有有限售条件的股份数量</w:t>
            </w:r>
          </w:p>
        </w:tc>
        <w:tc>
          <w:tcPr>
            <w:tcW w:w="1242" w:type="pct"/>
            <w:gridSpan w:val="3"/>
            <w:shd w:val="clear" w:color="auto" w:fill="D3D3D3"/>
            <w:vAlign w:val="center"/>
          </w:tcPr>
          <w:p>
            <w:pPr>
              <w:spacing w:before="0" w:after="0" w:line="240" w:lineRule="exact"/>
              <w:jc w:val="center"/>
              <w:rPr>
                <w:rFonts w:ascii="宋体" w:hAnsi="宋体" w:eastAsia="宋体" w:cs="宋体"/>
                <w:sz w:val="18"/>
                <w:szCs w:val="18"/>
              </w:rPr>
            </w:pPr>
            <w:r>
              <w:rPr>
                <w:rFonts w:ascii="宋体" w:hAnsi="宋体" w:eastAsia="宋体" w:cs="宋体"/>
                <w:sz w:val="18"/>
                <w:szCs w:val="18"/>
              </w:rPr>
              <w:t>质押、标记或冻结情况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3" w:type="pct"/>
            <w:vMerge w:val="continue"/>
            <w:shd w:val="clear" w:color="auto" w:fill="D3D3D3"/>
            <w:vAlign w:val="center"/>
          </w:tcPr>
          <w:p/>
        </w:tc>
        <w:tc>
          <w:tcPr>
            <w:tcW w:w="752" w:type="pct"/>
            <w:vMerge w:val="continue"/>
            <w:shd w:val="clear" w:color="auto" w:fill="D3D3D3"/>
            <w:vAlign w:val="center"/>
          </w:tcPr>
          <w:p/>
        </w:tc>
        <w:tc>
          <w:tcPr>
            <w:tcW w:w="501" w:type="pct"/>
            <w:vMerge w:val="continue"/>
            <w:shd w:val="clear" w:color="auto" w:fill="D3D3D3"/>
            <w:vAlign w:val="center"/>
          </w:tcPr>
          <w:p/>
        </w:tc>
        <w:tc>
          <w:tcPr>
            <w:tcW w:w="605" w:type="pct"/>
            <w:vMerge w:val="continue"/>
            <w:shd w:val="clear" w:color="auto" w:fill="D3D3D3"/>
            <w:vAlign w:val="center"/>
          </w:tcPr>
          <w:p/>
        </w:tc>
        <w:tc>
          <w:tcPr>
            <w:tcW w:w="645" w:type="pct"/>
            <w:vMerge w:val="continue"/>
            <w:shd w:val="clear" w:color="auto" w:fill="D3D3D3"/>
            <w:vAlign w:val="center"/>
          </w:tcPr>
          <w:p/>
        </w:tc>
        <w:tc>
          <w:tcPr>
            <w:tcW w:w="673" w:type="pct"/>
            <w:shd w:val="clear" w:color="auto" w:fill="D3D3D3"/>
            <w:vAlign w:val="center"/>
          </w:tcPr>
          <w:p>
            <w:pPr>
              <w:spacing w:before="0" w:after="0" w:line="240" w:lineRule="exact"/>
              <w:jc w:val="center"/>
              <w:rPr>
                <w:rFonts w:ascii="宋体" w:hAnsi="宋体" w:eastAsia="宋体" w:cs="宋体"/>
                <w:sz w:val="18"/>
                <w:szCs w:val="18"/>
              </w:rPr>
            </w:pPr>
            <w:r>
              <w:rPr>
                <w:rFonts w:ascii="宋体" w:hAnsi="宋体" w:eastAsia="宋体" w:cs="宋体"/>
                <w:sz w:val="18"/>
                <w:szCs w:val="18"/>
              </w:rPr>
              <w:t>股份状态</w:t>
            </w:r>
          </w:p>
        </w:tc>
        <w:tc>
          <w:tcPr>
            <w:tcW w:w="569" w:type="pct"/>
            <w:gridSpan w:val="2"/>
            <w:shd w:val="clear" w:color="auto" w:fill="D3D3D3"/>
            <w:vAlign w:val="center"/>
          </w:tcPr>
          <w:p>
            <w:pPr>
              <w:spacing w:before="0" w:after="0" w:line="240" w:lineRule="exact"/>
              <w:jc w:val="center"/>
              <w:rPr>
                <w:rFonts w:ascii="宋体" w:hAnsi="宋体" w:eastAsia="宋体" w:cs="宋体"/>
                <w:sz w:val="18"/>
                <w:szCs w:val="18"/>
              </w:rPr>
            </w:pPr>
            <w:r>
              <w:rPr>
                <w:rFonts w:ascii="宋体" w:hAnsi="宋体" w:eastAsia="宋体" w:cs="宋体"/>
                <w:sz w:val="18"/>
                <w:szCs w:val="18"/>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3"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青岛华通国有资本投资运营集团有限公司</w:t>
            </w:r>
          </w:p>
        </w:tc>
        <w:tc>
          <w:tcPr>
            <w:tcW w:w="752"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国有法人</w:t>
            </w:r>
          </w:p>
        </w:tc>
        <w:tc>
          <w:tcPr>
            <w:tcW w:w="501"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46.74%</w:t>
            </w:r>
          </w:p>
        </w:tc>
        <w:tc>
          <w:tcPr>
            <w:tcW w:w="605"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91,134,905</w:t>
            </w:r>
          </w:p>
        </w:tc>
        <w:tc>
          <w:tcPr>
            <w:tcW w:w="645"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91,134,905</w:t>
            </w:r>
          </w:p>
        </w:tc>
        <w:tc>
          <w:tcPr>
            <w:tcW w:w="673"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569" w:type="pct"/>
            <w:gridSpan w:val="2"/>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3"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青岛食品股份有限公司未确权股份托管专用证券账户</w:t>
            </w:r>
          </w:p>
        </w:tc>
        <w:tc>
          <w:tcPr>
            <w:tcW w:w="752"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境内非国有法人</w:t>
            </w:r>
          </w:p>
        </w:tc>
        <w:tc>
          <w:tcPr>
            <w:tcW w:w="501"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2.65%</w:t>
            </w:r>
          </w:p>
        </w:tc>
        <w:tc>
          <w:tcPr>
            <w:tcW w:w="605"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5,159,247</w:t>
            </w:r>
          </w:p>
        </w:tc>
        <w:tc>
          <w:tcPr>
            <w:tcW w:w="645"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5,159,247</w:t>
            </w:r>
          </w:p>
        </w:tc>
        <w:tc>
          <w:tcPr>
            <w:tcW w:w="673"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569" w:type="pct"/>
            <w:gridSpan w:val="2"/>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3"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深圳市核子基因科技有限公司</w:t>
            </w:r>
          </w:p>
        </w:tc>
        <w:tc>
          <w:tcPr>
            <w:tcW w:w="752"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境内非国有法人</w:t>
            </w:r>
          </w:p>
        </w:tc>
        <w:tc>
          <w:tcPr>
            <w:tcW w:w="501"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1.41%</w:t>
            </w:r>
          </w:p>
        </w:tc>
        <w:tc>
          <w:tcPr>
            <w:tcW w:w="605"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2,749,856</w:t>
            </w:r>
          </w:p>
        </w:tc>
        <w:tc>
          <w:tcPr>
            <w:tcW w:w="645"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673"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569" w:type="pct"/>
            <w:gridSpan w:val="2"/>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3"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王莉</w:t>
            </w:r>
          </w:p>
        </w:tc>
        <w:tc>
          <w:tcPr>
            <w:tcW w:w="752"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501"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0.90%</w:t>
            </w:r>
          </w:p>
        </w:tc>
        <w:tc>
          <w:tcPr>
            <w:tcW w:w="605"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1,750,672</w:t>
            </w:r>
          </w:p>
        </w:tc>
        <w:tc>
          <w:tcPr>
            <w:tcW w:w="645"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673"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569" w:type="pct"/>
            <w:gridSpan w:val="2"/>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3"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任伟</w:t>
            </w:r>
          </w:p>
        </w:tc>
        <w:tc>
          <w:tcPr>
            <w:tcW w:w="752"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501"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0.77%</w:t>
            </w:r>
          </w:p>
        </w:tc>
        <w:tc>
          <w:tcPr>
            <w:tcW w:w="605"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1,508,514</w:t>
            </w:r>
          </w:p>
        </w:tc>
        <w:tc>
          <w:tcPr>
            <w:tcW w:w="645"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673"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569" w:type="pct"/>
            <w:gridSpan w:val="2"/>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3"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青岛欧森海事技术服务有限公司</w:t>
            </w:r>
          </w:p>
        </w:tc>
        <w:tc>
          <w:tcPr>
            <w:tcW w:w="752"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境内非国有法人</w:t>
            </w:r>
          </w:p>
        </w:tc>
        <w:tc>
          <w:tcPr>
            <w:tcW w:w="501"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0.53%</w:t>
            </w:r>
          </w:p>
        </w:tc>
        <w:tc>
          <w:tcPr>
            <w:tcW w:w="605"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1,028,885</w:t>
            </w:r>
          </w:p>
        </w:tc>
        <w:tc>
          <w:tcPr>
            <w:tcW w:w="645"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673"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质押</w:t>
            </w:r>
          </w:p>
        </w:tc>
        <w:tc>
          <w:tcPr>
            <w:tcW w:w="569" w:type="pct"/>
            <w:gridSpan w:val="2"/>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773,500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3"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BARCLAYS BANK PLC</w:t>
            </w:r>
          </w:p>
        </w:tc>
        <w:tc>
          <w:tcPr>
            <w:tcW w:w="752"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境外法人</w:t>
            </w:r>
          </w:p>
        </w:tc>
        <w:tc>
          <w:tcPr>
            <w:tcW w:w="501"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0.52%</w:t>
            </w:r>
          </w:p>
        </w:tc>
        <w:tc>
          <w:tcPr>
            <w:tcW w:w="605"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1,015,668</w:t>
            </w:r>
          </w:p>
        </w:tc>
        <w:tc>
          <w:tcPr>
            <w:tcW w:w="645"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673"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569" w:type="pct"/>
            <w:gridSpan w:val="2"/>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3"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刘竹轩</w:t>
            </w:r>
          </w:p>
        </w:tc>
        <w:tc>
          <w:tcPr>
            <w:tcW w:w="752"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501"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0.48%</w:t>
            </w:r>
          </w:p>
        </w:tc>
        <w:tc>
          <w:tcPr>
            <w:tcW w:w="605"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935,944</w:t>
            </w:r>
          </w:p>
        </w:tc>
        <w:tc>
          <w:tcPr>
            <w:tcW w:w="645"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673"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569" w:type="pct"/>
            <w:gridSpan w:val="2"/>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3"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孙奥</w:t>
            </w:r>
          </w:p>
        </w:tc>
        <w:tc>
          <w:tcPr>
            <w:tcW w:w="752"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501"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0.41%</w:t>
            </w:r>
          </w:p>
        </w:tc>
        <w:tc>
          <w:tcPr>
            <w:tcW w:w="605"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791,170</w:t>
            </w:r>
          </w:p>
        </w:tc>
        <w:tc>
          <w:tcPr>
            <w:tcW w:w="645"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673"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569" w:type="pct"/>
            <w:gridSpan w:val="2"/>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3"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穆桂华</w:t>
            </w:r>
          </w:p>
        </w:tc>
        <w:tc>
          <w:tcPr>
            <w:tcW w:w="752"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501"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0.34%</w:t>
            </w:r>
          </w:p>
        </w:tc>
        <w:tc>
          <w:tcPr>
            <w:tcW w:w="605"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663,767</w:t>
            </w:r>
          </w:p>
        </w:tc>
        <w:tc>
          <w:tcPr>
            <w:tcW w:w="645" w:type="pct"/>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673"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569" w:type="pct"/>
            <w:gridSpan w:val="2"/>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8"/>
            <w:shd w:val="clear" w:color="auto" w:fill="D3D3D3"/>
            <w:vAlign w:val="center"/>
          </w:tcPr>
          <w:p>
            <w:pPr>
              <w:spacing w:before="0" w:after="0" w:line="240" w:lineRule="exact"/>
              <w:jc w:val="center"/>
              <w:rPr>
                <w:rFonts w:ascii="宋体" w:hAnsi="宋体" w:eastAsia="宋体" w:cs="宋体"/>
                <w:sz w:val="18"/>
                <w:szCs w:val="18"/>
              </w:rPr>
            </w:pPr>
            <w:r>
              <w:rPr>
                <w:rFonts w:ascii="宋体" w:hAnsi="宋体" w:eastAsia="宋体" w:cs="宋体"/>
                <w:sz w:val="18"/>
                <w:szCs w:val="18"/>
              </w:rPr>
              <w:t>前10名无限售条件股东持股情况（不含通过转融通出借股份、高管锁定股）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06" w:type="pct"/>
            <w:gridSpan w:val="2"/>
            <w:vMerge w:val="restart"/>
            <w:shd w:val="clear" w:color="auto" w:fill="D3D3D3"/>
            <w:vAlign w:val="center"/>
          </w:tcPr>
          <w:p>
            <w:pPr>
              <w:spacing w:before="0" w:after="0" w:line="240" w:lineRule="exact"/>
              <w:jc w:val="center"/>
              <w:rPr>
                <w:rFonts w:ascii="宋体" w:hAnsi="宋体" w:eastAsia="宋体" w:cs="宋体"/>
                <w:sz w:val="18"/>
                <w:szCs w:val="18"/>
              </w:rPr>
            </w:pPr>
            <w:r>
              <w:rPr>
                <w:rFonts w:ascii="宋体" w:hAnsi="宋体" w:eastAsia="宋体" w:cs="宋体"/>
                <w:sz w:val="18"/>
                <w:szCs w:val="18"/>
              </w:rPr>
              <w:t>股东名称</w:t>
            </w:r>
          </w:p>
        </w:tc>
        <w:tc>
          <w:tcPr>
            <w:tcW w:w="1751" w:type="pct"/>
            <w:gridSpan w:val="3"/>
            <w:vMerge w:val="restart"/>
            <w:shd w:val="clear" w:color="auto" w:fill="D3D3D3"/>
            <w:vAlign w:val="center"/>
          </w:tcPr>
          <w:p>
            <w:pPr>
              <w:spacing w:before="0" w:after="0" w:line="240" w:lineRule="exact"/>
              <w:jc w:val="center"/>
              <w:rPr>
                <w:rFonts w:ascii="宋体" w:hAnsi="宋体" w:eastAsia="宋体" w:cs="宋体"/>
                <w:sz w:val="18"/>
                <w:szCs w:val="18"/>
              </w:rPr>
            </w:pPr>
            <w:r>
              <w:rPr>
                <w:rFonts w:ascii="宋体" w:hAnsi="宋体" w:eastAsia="宋体" w:cs="宋体"/>
                <w:sz w:val="18"/>
                <w:szCs w:val="18"/>
              </w:rPr>
              <w:t>持有无限售条件股份数量</w:t>
            </w:r>
          </w:p>
        </w:tc>
        <w:tc>
          <w:tcPr>
            <w:tcW w:w="1242" w:type="pct"/>
            <w:gridSpan w:val="3"/>
            <w:shd w:val="clear" w:color="auto" w:fill="D3D3D3"/>
            <w:vAlign w:val="center"/>
          </w:tcPr>
          <w:p>
            <w:pPr>
              <w:spacing w:before="0" w:after="0" w:line="240" w:lineRule="exact"/>
              <w:jc w:val="center"/>
              <w:rPr>
                <w:rFonts w:ascii="宋体" w:hAnsi="宋体" w:eastAsia="宋体" w:cs="宋体"/>
                <w:sz w:val="18"/>
                <w:szCs w:val="18"/>
              </w:rPr>
            </w:pPr>
            <w:r>
              <w:rPr>
                <w:rFonts w:ascii="宋体" w:hAnsi="宋体" w:eastAsia="宋体" w:cs="宋体"/>
                <w:sz w:val="18"/>
                <w:szCs w:val="18"/>
              </w:rPr>
              <w:t>股份种类及数量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06" w:type="pct"/>
            <w:gridSpan w:val="2"/>
            <w:vMerge w:val="continue"/>
            <w:shd w:val="clear" w:color="auto" w:fill="D3D3D3"/>
            <w:vAlign w:val="center"/>
          </w:tcPr>
          <w:p/>
        </w:tc>
        <w:tc>
          <w:tcPr>
            <w:tcW w:w="1751" w:type="pct"/>
            <w:gridSpan w:val="3"/>
            <w:vMerge w:val="continue"/>
            <w:shd w:val="clear" w:color="auto" w:fill="D3D3D3"/>
            <w:vAlign w:val="center"/>
          </w:tcPr>
          <w:p/>
        </w:tc>
        <w:tc>
          <w:tcPr>
            <w:tcW w:w="673" w:type="pct"/>
            <w:shd w:val="clear" w:color="auto" w:fill="D3D3D3"/>
            <w:vAlign w:val="center"/>
          </w:tcPr>
          <w:p>
            <w:pPr>
              <w:spacing w:before="0" w:after="0" w:line="240" w:lineRule="exact"/>
              <w:jc w:val="center"/>
              <w:rPr>
                <w:rFonts w:ascii="宋体" w:hAnsi="宋体" w:eastAsia="宋体" w:cs="宋体"/>
                <w:sz w:val="18"/>
                <w:szCs w:val="18"/>
              </w:rPr>
            </w:pPr>
            <w:r>
              <w:rPr>
                <w:rFonts w:ascii="宋体" w:hAnsi="宋体" w:eastAsia="宋体" w:cs="宋体"/>
                <w:sz w:val="18"/>
                <w:szCs w:val="18"/>
              </w:rPr>
              <w:t>股份种类</w:t>
            </w:r>
          </w:p>
        </w:tc>
        <w:tc>
          <w:tcPr>
            <w:tcW w:w="569" w:type="pct"/>
            <w:gridSpan w:val="2"/>
            <w:shd w:val="clear" w:color="auto" w:fill="D3D3D3"/>
            <w:vAlign w:val="center"/>
          </w:tcPr>
          <w:p>
            <w:pPr>
              <w:spacing w:before="0" w:after="0" w:line="240" w:lineRule="exact"/>
              <w:jc w:val="center"/>
              <w:rPr>
                <w:rFonts w:ascii="宋体" w:hAnsi="宋体" w:eastAsia="宋体" w:cs="宋体"/>
                <w:sz w:val="18"/>
                <w:szCs w:val="18"/>
              </w:rPr>
            </w:pPr>
            <w:r>
              <w:rPr>
                <w:rFonts w:ascii="宋体" w:hAnsi="宋体" w:eastAsia="宋体" w:cs="宋体"/>
                <w:sz w:val="18"/>
                <w:szCs w:val="18"/>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06" w:type="pct"/>
            <w:gridSpan w:val="2"/>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深圳市核子基因科技有限公司</w:t>
            </w:r>
          </w:p>
        </w:tc>
        <w:tc>
          <w:tcPr>
            <w:tcW w:w="1751" w:type="pct"/>
            <w:gridSpan w:val="3"/>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2,749,856</w:t>
            </w:r>
          </w:p>
        </w:tc>
        <w:tc>
          <w:tcPr>
            <w:tcW w:w="673"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人民币普通股</w:t>
            </w:r>
          </w:p>
        </w:tc>
        <w:tc>
          <w:tcPr>
            <w:tcW w:w="569" w:type="pct"/>
            <w:gridSpan w:val="2"/>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2,749,856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06" w:type="pct"/>
            <w:gridSpan w:val="2"/>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王莉</w:t>
            </w:r>
          </w:p>
        </w:tc>
        <w:tc>
          <w:tcPr>
            <w:tcW w:w="1751" w:type="pct"/>
            <w:gridSpan w:val="3"/>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1,750,672</w:t>
            </w:r>
          </w:p>
        </w:tc>
        <w:tc>
          <w:tcPr>
            <w:tcW w:w="673"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人民币普通股</w:t>
            </w:r>
          </w:p>
        </w:tc>
        <w:tc>
          <w:tcPr>
            <w:tcW w:w="569" w:type="pct"/>
            <w:gridSpan w:val="2"/>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1,750,672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06" w:type="pct"/>
            <w:gridSpan w:val="2"/>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任伟</w:t>
            </w:r>
          </w:p>
        </w:tc>
        <w:tc>
          <w:tcPr>
            <w:tcW w:w="1751" w:type="pct"/>
            <w:gridSpan w:val="3"/>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1,508,514</w:t>
            </w:r>
          </w:p>
        </w:tc>
        <w:tc>
          <w:tcPr>
            <w:tcW w:w="673"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人民币普通股</w:t>
            </w:r>
          </w:p>
        </w:tc>
        <w:tc>
          <w:tcPr>
            <w:tcW w:w="569" w:type="pct"/>
            <w:gridSpan w:val="2"/>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1,508,514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06" w:type="pct"/>
            <w:gridSpan w:val="2"/>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青岛欧森海事技术服务有限公司</w:t>
            </w:r>
          </w:p>
        </w:tc>
        <w:tc>
          <w:tcPr>
            <w:tcW w:w="1751" w:type="pct"/>
            <w:gridSpan w:val="3"/>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1,028,885</w:t>
            </w:r>
          </w:p>
        </w:tc>
        <w:tc>
          <w:tcPr>
            <w:tcW w:w="673"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人民币普通股</w:t>
            </w:r>
          </w:p>
        </w:tc>
        <w:tc>
          <w:tcPr>
            <w:tcW w:w="569" w:type="pct"/>
            <w:gridSpan w:val="2"/>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1,028,885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06" w:type="pct"/>
            <w:gridSpan w:val="2"/>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BARCLAYS BANK PLC</w:t>
            </w:r>
          </w:p>
        </w:tc>
        <w:tc>
          <w:tcPr>
            <w:tcW w:w="1751" w:type="pct"/>
            <w:gridSpan w:val="3"/>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1,015,668</w:t>
            </w:r>
          </w:p>
        </w:tc>
        <w:tc>
          <w:tcPr>
            <w:tcW w:w="673"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人民币普通股</w:t>
            </w:r>
          </w:p>
        </w:tc>
        <w:tc>
          <w:tcPr>
            <w:tcW w:w="569" w:type="pct"/>
            <w:gridSpan w:val="2"/>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1,015,668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06" w:type="pct"/>
            <w:gridSpan w:val="2"/>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刘竹轩</w:t>
            </w:r>
          </w:p>
        </w:tc>
        <w:tc>
          <w:tcPr>
            <w:tcW w:w="1751" w:type="pct"/>
            <w:gridSpan w:val="3"/>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935,944</w:t>
            </w:r>
          </w:p>
        </w:tc>
        <w:tc>
          <w:tcPr>
            <w:tcW w:w="673"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人民币普通股</w:t>
            </w:r>
          </w:p>
        </w:tc>
        <w:tc>
          <w:tcPr>
            <w:tcW w:w="569" w:type="pct"/>
            <w:gridSpan w:val="2"/>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935,944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06" w:type="pct"/>
            <w:gridSpan w:val="2"/>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孙奥</w:t>
            </w:r>
          </w:p>
        </w:tc>
        <w:tc>
          <w:tcPr>
            <w:tcW w:w="1751" w:type="pct"/>
            <w:gridSpan w:val="3"/>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791,170</w:t>
            </w:r>
          </w:p>
        </w:tc>
        <w:tc>
          <w:tcPr>
            <w:tcW w:w="673"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人民币普通股</w:t>
            </w:r>
          </w:p>
        </w:tc>
        <w:tc>
          <w:tcPr>
            <w:tcW w:w="569" w:type="pct"/>
            <w:gridSpan w:val="2"/>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791,170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06" w:type="pct"/>
            <w:gridSpan w:val="2"/>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穆桂华</w:t>
            </w:r>
          </w:p>
        </w:tc>
        <w:tc>
          <w:tcPr>
            <w:tcW w:w="1751" w:type="pct"/>
            <w:gridSpan w:val="3"/>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663,767</w:t>
            </w:r>
          </w:p>
        </w:tc>
        <w:tc>
          <w:tcPr>
            <w:tcW w:w="673"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人民币普通股</w:t>
            </w:r>
          </w:p>
        </w:tc>
        <w:tc>
          <w:tcPr>
            <w:tcW w:w="569" w:type="pct"/>
            <w:gridSpan w:val="2"/>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663,767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06" w:type="pct"/>
            <w:gridSpan w:val="2"/>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王红梅</w:t>
            </w:r>
          </w:p>
        </w:tc>
        <w:tc>
          <w:tcPr>
            <w:tcW w:w="1751" w:type="pct"/>
            <w:gridSpan w:val="3"/>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659,100</w:t>
            </w:r>
          </w:p>
        </w:tc>
        <w:tc>
          <w:tcPr>
            <w:tcW w:w="673"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人民币普通股</w:t>
            </w:r>
          </w:p>
        </w:tc>
        <w:tc>
          <w:tcPr>
            <w:tcW w:w="569" w:type="pct"/>
            <w:gridSpan w:val="2"/>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659,100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06" w:type="pct"/>
            <w:gridSpan w:val="2"/>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毛剑东</w:t>
            </w:r>
          </w:p>
        </w:tc>
        <w:tc>
          <w:tcPr>
            <w:tcW w:w="1751" w:type="pct"/>
            <w:gridSpan w:val="3"/>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650,023</w:t>
            </w:r>
          </w:p>
        </w:tc>
        <w:tc>
          <w:tcPr>
            <w:tcW w:w="673" w:type="pct"/>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人民币普通股</w:t>
            </w:r>
          </w:p>
        </w:tc>
        <w:tc>
          <w:tcPr>
            <w:tcW w:w="569" w:type="pct"/>
            <w:gridSpan w:val="2"/>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650,023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06" w:type="pct"/>
            <w:gridSpan w:val="2"/>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上述股东关联关系或一致行动的说明</w:t>
            </w:r>
          </w:p>
        </w:tc>
        <w:tc>
          <w:tcPr>
            <w:tcW w:w="2993" w:type="pct"/>
            <w:gridSpan w:val="6"/>
            <w:vAlign w:val="center"/>
          </w:tcPr>
          <w:p>
            <w:pPr>
              <w:spacing w:before="0" w:after="0" w:line="240" w:lineRule="exact"/>
              <w:jc w:val="left"/>
              <w:rPr>
                <w:rFonts w:ascii="宋体" w:hAnsi="宋体" w:eastAsia="宋体" w:cs="宋体"/>
                <w:sz w:val="18"/>
                <w:szCs w:val="18"/>
              </w:rPr>
            </w:pPr>
            <w:r>
              <w:rPr>
                <w:rFonts w:hint="eastAsia" w:ascii="宋体" w:hAnsi="宋体" w:eastAsia="宋体" w:cs="宋体"/>
                <w:sz w:val="18"/>
                <w:szCs w:val="18"/>
              </w:rPr>
              <w:t>公司未知上述股东之间是否存在关联关系或</w:t>
            </w:r>
            <w:r>
              <w:rPr>
                <w:rFonts w:hint="eastAsia" w:ascii="宋体" w:hAnsi="宋体" w:cs="宋体"/>
                <w:sz w:val="18"/>
                <w:szCs w:val="18"/>
                <w:lang w:val="en-US" w:eastAsia="zh-CN"/>
              </w:rPr>
              <w:t>为</w:t>
            </w:r>
            <w:bookmarkStart w:id="15" w:name="_GoBack"/>
            <w:bookmarkEnd w:id="15"/>
            <w:r>
              <w:rPr>
                <w:rFonts w:hint="eastAsia" w:ascii="宋体" w:hAnsi="宋体" w:eastAsia="宋体" w:cs="宋体"/>
                <w:sz w:val="18"/>
                <w:szCs w:val="18"/>
              </w:rPr>
              <w:t>一致行动人。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06" w:type="pct"/>
            <w:gridSpan w:val="2"/>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前10名股东参与融资融券业务情况说明</w:t>
            </w:r>
          </w:p>
        </w:tc>
        <w:tc>
          <w:tcPr>
            <w:tcW w:w="2993" w:type="pct"/>
            <w:gridSpan w:val="6"/>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无。</w:t>
            </w:r>
          </w:p>
        </w:tc>
      </w:tr>
    </w:tbl>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21"/>
          <w:szCs w:val="21"/>
        </w:rPr>
      </w:pPr>
      <w:r>
        <w:rPr>
          <w:rFonts w:ascii="宋体" w:hAnsi="宋体" w:eastAsia="宋体" w:cs="宋体"/>
          <w:sz w:val="21"/>
          <w:szCs w:val="21"/>
        </w:rPr>
        <w:t>持股5%以上股东、前10名股东及前10名无限售流通股股东参与转融通业务出借股份情况</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21"/>
          <w:szCs w:val="21"/>
        </w:rPr>
      </w:pPr>
      <w:r>
        <w:rPr>
          <w:rFonts w:ascii="宋体" w:hAnsi="宋体" w:eastAsia="宋体" w:cs="宋体"/>
          <w:sz w:val="21"/>
          <w:szCs w:val="21"/>
        </w:rPr>
        <w:t xml:space="preserve">□适用 </w:t>
      </w:r>
      <w:r>
        <w:rPr>
          <w:rFonts w:ascii="宋体" w:hAnsi="宋体" w:eastAsia="宋体" w:cs="宋体"/>
          <w:sz w:val="21"/>
          <w:szCs w:val="21"/>
        </w:rPr>
        <w:sym w:font="Wingdings 2" w:char="F052"/>
      </w:r>
      <w:r>
        <w:rPr>
          <w:rFonts w:ascii="宋体" w:hAnsi="宋体" w:eastAsia="宋体" w:cs="宋体"/>
          <w:sz w:val="21"/>
          <w:szCs w:val="21"/>
        </w:rPr>
        <w:t>不适用</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21"/>
          <w:szCs w:val="21"/>
        </w:rPr>
      </w:pPr>
      <w:r>
        <w:rPr>
          <w:rFonts w:ascii="宋体" w:hAnsi="宋体" w:eastAsia="宋体" w:cs="宋体"/>
          <w:sz w:val="21"/>
          <w:szCs w:val="21"/>
        </w:rPr>
        <w:t>前10名股东及前10名无限售流通股股东因转融通出借/归还原因导致较上期发生变化</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21"/>
          <w:szCs w:val="21"/>
        </w:rPr>
      </w:pPr>
      <w:r>
        <w:rPr>
          <w:rFonts w:ascii="宋体" w:hAnsi="宋体" w:eastAsia="宋体" w:cs="宋体"/>
          <w:sz w:val="21"/>
          <w:szCs w:val="21"/>
        </w:rPr>
        <w:t xml:space="preserve">□适用 </w:t>
      </w:r>
      <w:r>
        <w:rPr>
          <w:rFonts w:ascii="宋体" w:hAnsi="宋体" w:eastAsia="宋体" w:cs="宋体"/>
          <w:sz w:val="21"/>
          <w:szCs w:val="21"/>
        </w:rPr>
        <w:sym w:font="Wingdings 2" w:char="F052"/>
      </w:r>
      <w:r>
        <w:rPr>
          <w:rFonts w:ascii="宋体" w:hAnsi="宋体" w:eastAsia="宋体" w:cs="宋体"/>
          <w:sz w:val="21"/>
          <w:szCs w:val="21"/>
        </w:rPr>
        <w:t>不适用</w:t>
      </w:r>
    </w:p>
    <w:p>
      <w:pPr>
        <w:keepNext/>
        <w:keepLines/>
        <w:pageBreakBefore w:val="0"/>
        <w:widowControl w:val="0"/>
        <w:kinsoku/>
        <w:wordWrap/>
        <w:overflowPunct/>
        <w:topLinePunct w:val="0"/>
        <w:autoSpaceDE/>
        <w:autoSpaceDN/>
        <w:bidi w:val="0"/>
        <w:adjustRightInd/>
        <w:snapToGrid/>
        <w:spacing w:before="200" w:after="200" w:line="280" w:lineRule="exact"/>
        <w:jc w:val="left"/>
        <w:textAlignment w:val="auto"/>
        <w:outlineLvl w:val="1"/>
        <w:rPr>
          <w:rFonts w:ascii="宋体" w:hAnsi="宋体" w:eastAsia="宋体" w:cs="宋体"/>
          <w:b/>
          <w:bCs/>
          <w:sz w:val="21"/>
          <w:szCs w:val="21"/>
        </w:rPr>
      </w:pPr>
      <w:bookmarkStart w:id="6" w:name="_Toc988895"/>
      <w:r>
        <w:rPr>
          <w:rFonts w:ascii="宋体" w:hAnsi="宋体" w:eastAsia="宋体" w:cs="宋体"/>
          <w:b/>
          <w:bCs/>
          <w:sz w:val="21"/>
          <w:szCs w:val="21"/>
        </w:rPr>
        <w:t>（二）公司优先股股东总数及前10名优先股股东持股情况表</w:t>
      </w:r>
      <w:bookmarkEnd w:id="6"/>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21"/>
          <w:szCs w:val="21"/>
        </w:rPr>
      </w:pPr>
      <w:r>
        <w:rPr>
          <w:rFonts w:ascii="宋体" w:hAnsi="宋体" w:eastAsia="宋体" w:cs="宋体"/>
          <w:sz w:val="21"/>
          <w:szCs w:val="21"/>
        </w:rPr>
        <w:t xml:space="preserve">□适用 </w:t>
      </w:r>
      <w:r>
        <w:rPr>
          <w:rFonts w:ascii="宋体" w:hAnsi="宋体" w:eastAsia="宋体" w:cs="宋体"/>
          <w:sz w:val="21"/>
          <w:szCs w:val="21"/>
        </w:rPr>
        <w:sym w:font="Wingdings 2" w:char="F052"/>
      </w:r>
      <w:r>
        <w:rPr>
          <w:rFonts w:ascii="宋体" w:hAnsi="宋体" w:eastAsia="宋体" w:cs="宋体"/>
          <w:sz w:val="21"/>
          <w:szCs w:val="21"/>
        </w:rPr>
        <w:t>不适用</w:t>
      </w:r>
    </w:p>
    <w:p>
      <w:pPr>
        <w:keepNext/>
        <w:keepLines/>
        <w:pageBreakBefore w:val="0"/>
        <w:widowControl w:val="0"/>
        <w:kinsoku/>
        <w:wordWrap/>
        <w:overflowPunct/>
        <w:topLinePunct w:val="0"/>
        <w:autoSpaceDE/>
        <w:autoSpaceDN/>
        <w:bidi w:val="0"/>
        <w:adjustRightInd/>
        <w:snapToGrid/>
        <w:spacing w:before="200" w:after="200" w:line="320" w:lineRule="exact"/>
        <w:jc w:val="left"/>
        <w:textAlignment w:val="auto"/>
        <w:outlineLvl w:val="0"/>
        <w:rPr>
          <w:rFonts w:ascii="宋体" w:hAnsi="宋体" w:eastAsia="宋体" w:cs="宋体"/>
          <w:b/>
          <w:bCs/>
          <w:sz w:val="24"/>
          <w:szCs w:val="24"/>
        </w:rPr>
      </w:pPr>
      <w:bookmarkStart w:id="7" w:name="_Toc988896"/>
      <w:r>
        <w:rPr>
          <w:rFonts w:ascii="宋体" w:hAnsi="宋体" w:eastAsia="宋体" w:cs="宋体"/>
          <w:b/>
          <w:bCs/>
          <w:sz w:val="24"/>
          <w:szCs w:val="24"/>
        </w:rPr>
        <w:t>三、其他重要事项</w:t>
      </w:r>
      <w:bookmarkEnd w:id="7"/>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21"/>
          <w:szCs w:val="21"/>
        </w:rPr>
      </w:pPr>
      <w:r>
        <w:rPr>
          <w:rFonts w:ascii="宋体" w:hAnsi="宋体" w:eastAsia="宋体" w:cs="宋体"/>
          <w:sz w:val="21"/>
          <w:szCs w:val="21"/>
        </w:rPr>
        <w:t xml:space="preserve">□适用 </w:t>
      </w:r>
      <w:r>
        <w:rPr>
          <w:rFonts w:ascii="宋体" w:hAnsi="宋体" w:eastAsia="宋体" w:cs="宋体"/>
          <w:sz w:val="21"/>
          <w:szCs w:val="21"/>
        </w:rPr>
        <w:sym w:font="Wingdings 2" w:char="F052"/>
      </w:r>
      <w:r>
        <w:rPr>
          <w:rFonts w:ascii="宋体" w:hAnsi="宋体" w:eastAsia="宋体" w:cs="宋体"/>
          <w:sz w:val="21"/>
          <w:szCs w:val="21"/>
        </w:rPr>
        <w:t>不适用</w:t>
      </w:r>
    </w:p>
    <w:p>
      <w:pPr>
        <w:rPr>
          <w:rFonts w:ascii="宋体" w:hAnsi="宋体" w:eastAsia="宋体" w:cs="宋体"/>
          <w:sz w:val="21"/>
          <w:szCs w:val="21"/>
        </w:rPr>
      </w:pPr>
      <w:r>
        <w:rPr>
          <w:rFonts w:ascii="宋体" w:hAnsi="宋体" w:eastAsia="宋体" w:cs="宋体"/>
          <w:sz w:val="21"/>
          <w:szCs w:val="21"/>
        </w:rPr>
        <w:br w:type="page"/>
      </w:r>
    </w:p>
    <w:p>
      <w:pPr>
        <w:keepNext/>
        <w:keepLines/>
        <w:pageBreakBefore w:val="0"/>
        <w:widowControl w:val="0"/>
        <w:kinsoku/>
        <w:wordWrap/>
        <w:overflowPunct/>
        <w:topLinePunct w:val="0"/>
        <w:autoSpaceDE/>
        <w:autoSpaceDN/>
        <w:bidi w:val="0"/>
        <w:adjustRightInd/>
        <w:snapToGrid/>
        <w:spacing w:before="200" w:after="200" w:line="320" w:lineRule="exact"/>
        <w:jc w:val="left"/>
        <w:textAlignment w:val="auto"/>
        <w:outlineLvl w:val="0"/>
        <w:rPr>
          <w:rFonts w:ascii="宋体" w:hAnsi="宋体" w:eastAsia="宋体" w:cs="宋体"/>
          <w:b/>
          <w:bCs/>
          <w:sz w:val="24"/>
          <w:szCs w:val="24"/>
        </w:rPr>
      </w:pPr>
      <w:bookmarkStart w:id="8" w:name="_Toc988897"/>
      <w:r>
        <w:rPr>
          <w:rFonts w:ascii="宋体" w:hAnsi="宋体" w:eastAsia="宋体" w:cs="宋体"/>
          <w:b/>
          <w:bCs/>
          <w:sz w:val="24"/>
          <w:szCs w:val="24"/>
        </w:rPr>
        <w:t>四、季度财务报表</w:t>
      </w:r>
      <w:bookmarkEnd w:id="8"/>
    </w:p>
    <w:p>
      <w:pPr>
        <w:keepNext/>
        <w:keepLines/>
        <w:pageBreakBefore w:val="0"/>
        <w:widowControl w:val="0"/>
        <w:kinsoku/>
        <w:wordWrap/>
        <w:overflowPunct/>
        <w:topLinePunct w:val="0"/>
        <w:autoSpaceDE/>
        <w:autoSpaceDN/>
        <w:bidi w:val="0"/>
        <w:adjustRightInd/>
        <w:snapToGrid/>
        <w:spacing w:before="200" w:after="200" w:line="280" w:lineRule="exact"/>
        <w:jc w:val="left"/>
        <w:textAlignment w:val="auto"/>
        <w:outlineLvl w:val="1"/>
        <w:rPr>
          <w:rFonts w:ascii="宋体" w:hAnsi="宋体" w:eastAsia="宋体" w:cs="宋体"/>
          <w:b/>
          <w:bCs/>
          <w:sz w:val="21"/>
          <w:szCs w:val="21"/>
        </w:rPr>
      </w:pPr>
      <w:bookmarkStart w:id="9" w:name="_Toc988898"/>
      <w:r>
        <w:rPr>
          <w:rFonts w:ascii="宋体" w:hAnsi="宋体" w:eastAsia="宋体" w:cs="宋体"/>
          <w:b/>
          <w:bCs/>
          <w:sz w:val="21"/>
          <w:szCs w:val="21"/>
        </w:rPr>
        <w:t>（一）财务报表</w:t>
      </w:r>
      <w:bookmarkEnd w:id="9"/>
    </w:p>
    <w:p>
      <w:pPr>
        <w:keepNext/>
        <w:keepLines/>
        <w:pageBreakBefore w:val="0"/>
        <w:widowControl w:val="0"/>
        <w:kinsoku/>
        <w:wordWrap/>
        <w:overflowPunct/>
        <w:topLinePunct w:val="0"/>
        <w:autoSpaceDE/>
        <w:autoSpaceDN/>
        <w:bidi w:val="0"/>
        <w:adjustRightInd/>
        <w:snapToGrid/>
        <w:spacing w:before="200" w:after="200" w:line="280" w:lineRule="exact"/>
        <w:jc w:val="left"/>
        <w:textAlignment w:val="auto"/>
        <w:outlineLvl w:val="2"/>
        <w:rPr>
          <w:rFonts w:ascii="宋体" w:hAnsi="宋体" w:eastAsia="宋体" w:cs="宋体"/>
          <w:b/>
          <w:bCs/>
          <w:sz w:val="21"/>
          <w:szCs w:val="21"/>
        </w:rPr>
      </w:pPr>
      <w:bookmarkStart w:id="10" w:name="_Toc988899"/>
      <w:r>
        <w:rPr>
          <w:rFonts w:ascii="宋体" w:hAnsi="宋体" w:eastAsia="宋体" w:cs="宋体"/>
          <w:b/>
          <w:bCs/>
          <w:sz w:val="21"/>
          <w:szCs w:val="21"/>
        </w:rPr>
        <w:t>1、合并资产负债表</w:t>
      </w:r>
      <w:bookmarkEnd w:id="10"/>
    </w:p>
    <w:p>
      <w:pPr>
        <w:spacing w:before="0" w:after="0" w:line="240" w:lineRule="exact"/>
        <w:jc w:val="left"/>
        <w:rPr>
          <w:rFonts w:ascii="宋体" w:hAnsi="宋体" w:eastAsia="宋体" w:cs="宋体"/>
          <w:sz w:val="18"/>
          <w:szCs w:val="18"/>
        </w:rPr>
      </w:pPr>
      <w:r>
        <w:rPr>
          <w:rFonts w:ascii="宋体" w:hAnsi="宋体" w:eastAsia="宋体" w:cs="宋体"/>
          <w:sz w:val="18"/>
          <w:szCs w:val="18"/>
        </w:rPr>
        <w:t>编制单位：青岛食品股份有限公司</w:t>
      </w:r>
    </w:p>
    <w:p>
      <w:pPr>
        <w:spacing w:before="0" w:after="0" w:line="240" w:lineRule="exact"/>
        <w:jc w:val="center"/>
        <w:rPr>
          <w:rFonts w:ascii="宋体" w:hAnsi="宋体" w:eastAsia="宋体" w:cs="宋体"/>
          <w:sz w:val="18"/>
          <w:szCs w:val="18"/>
        </w:rPr>
      </w:pPr>
      <w:r>
        <w:rPr>
          <w:rFonts w:ascii="宋体" w:hAnsi="宋体" w:eastAsia="宋体" w:cs="宋体"/>
          <w:sz w:val="18"/>
          <w:szCs w:val="18"/>
        </w:rPr>
        <w:t>2024年09月30日</w:t>
      </w:r>
    </w:p>
    <w:p>
      <w:pPr>
        <w:spacing w:before="0" w:after="0" w:line="240" w:lineRule="exact"/>
        <w:jc w:val="right"/>
        <w:rPr>
          <w:rFonts w:ascii="宋体" w:hAnsi="宋体" w:eastAsia="宋体" w:cs="宋体"/>
          <w:sz w:val="18"/>
          <w:szCs w:val="18"/>
        </w:rPr>
      </w:pPr>
      <w:r>
        <w:rPr>
          <w:rFonts w:ascii="宋体" w:hAnsi="宋体" w:eastAsia="宋体" w:cs="宋体"/>
          <w:sz w:val="18"/>
          <w:szCs w:val="18"/>
        </w:rPr>
        <w:t>单位：元</w:t>
      </w:r>
    </w:p>
    <w:tbl>
      <w:tblPr>
        <w:tblStyle w:val="3"/>
        <w:tblW w:w="96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13"/>
        <w:gridCol w:w="3213"/>
        <w:gridCol w:w="3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jc w:val="center"/>
              <w:rPr>
                <w:rFonts w:ascii="宋体" w:hAnsi="宋体" w:eastAsia="宋体" w:cs="宋体"/>
                <w:sz w:val="18"/>
                <w:szCs w:val="18"/>
              </w:rPr>
            </w:pPr>
            <w:r>
              <w:rPr>
                <w:rFonts w:ascii="宋体" w:hAnsi="宋体" w:eastAsia="宋体" w:cs="宋体"/>
                <w:sz w:val="18"/>
                <w:szCs w:val="18"/>
              </w:rPr>
              <w:t>项目</w:t>
            </w:r>
          </w:p>
        </w:tc>
        <w:tc>
          <w:tcPr>
            <w:tcW w:w="3213" w:type="dxa"/>
            <w:shd w:val="clear" w:color="auto" w:fill="D3D3D3"/>
            <w:vAlign w:val="center"/>
          </w:tcPr>
          <w:p>
            <w:pPr>
              <w:spacing w:before="0" w:after="0" w:line="240" w:lineRule="exact"/>
              <w:jc w:val="center"/>
              <w:rPr>
                <w:rFonts w:ascii="宋体" w:hAnsi="宋体" w:eastAsia="宋体" w:cs="宋体"/>
                <w:sz w:val="18"/>
                <w:szCs w:val="18"/>
              </w:rPr>
            </w:pPr>
            <w:r>
              <w:rPr>
                <w:rFonts w:ascii="宋体" w:hAnsi="宋体" w:eastAsia="宋体" w:cs="宋体"/>
                <w:sz w:val="18"/>
                <w:szCs w:val="18"/>
              </w:rPr>
              <w:t>期末余额</w:t>
            </w:r>
          </w:p>
        </w:tc>
        <w:tc>
          <w:tcPr>
            <w:tcW w:w="3213" w:type="dxa"/>
            <w:shd w:val="clear" w:color="auto" w:fill="D3D3D3"/>
            <w:vAlign w:val="center"/>
          </w:tcPr>
          <w:p>
            <w:pPr>
              <w:spacing w:before="0" w:after="0" w:line="240" w:lineRule="exact"/>
              <w:jc w:val="center"/>
              <w:rPr>
                <w:rFonts w:ascii="宋体" w:hAnsi="宋体" w:eastAsia="宋体" w:cs="宋体"/>
                <w:sz w:val="18"/>
                <w:szCs w:val="18"/>
              </w:rPr>
            </w:pPr>
            <w:r>
              <w:rPr>
                <w:rFonts w:ascii="宋体" w:hAnsi="宋体" w:eastAsia="宋体" w:cs="宋体"/>
                <w:sz w:val="18"/>
                <w:szCs w:val="18"/>
              </w:rPr>
              <w:t>期初余额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流动资产：</w:t>
            </w:r>
          </w:p>
        </w:tc>
        <w:tc>
          <w:tcPr>
            <w:tcW w:w="3213" w:type="dxa"/>
            <w:shd w:val="clear" w:color="auto" w:fill="D3D3D3"/>
            <w:vAlign w:val="center"/>
          </w:tcPr>
          <w:p/>
        </w:tc>
        <w:tc>
          <w:tcPr>
            <w:tcW w:w="3213" w:type="dxa"/>
            <w:shd w:val="clear" w:color="auto" w:fill="D3D3D3"/>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货币资金</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216,754,676.38</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170,348,709.40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结算备付金</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拆出资金</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交易性金融资产</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681,313,068.49</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762,076,841.08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衍生金融资产</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应收票据</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2,170,333.43</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8,798,112.20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应收账款</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10,206,319.10</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12,630,216.94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应收款项融资</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1,637,589.65</w:t>
            </w: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预付款项</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2,387,798.83</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584,490.48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应收保费</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应收分保账款</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应收分保合同准备金</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其他应收款</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112,718.40</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1,628,815.31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360" w:firstLineChars="200"/>
              <w:jc w:val="left"/>
              <w:rPr>
                <w:rFonts w:ascii="宋体" w:hAnsi="宋体" w:eastAsia="宋体" w:cs="宋体"/>
                <w:sz w:val="18"/>
                <w:szCs w:val="18"/>
              </w:rPr>
            </w:pPr>
            <w:r>
              <w:rPr>
                <w:rFonts w:ascii="宋体" w:hAnsi="宋体" w:eastAsia="宋体" w:cs="宋体"/>
                <w:sz w:val="18"/>
                <w:szCs w:val="18"/>
              </w:rPr>
              <w:t>其中：应收利息</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900" w:firstLineChars="500"/>
              <w:jc w:val="left"/>
              <w:rPr>
                <w:rFonts w:ascii="宋体" w:hAnsi="宋体" w:eastAsia="宋体" w:cs="宋体"/>
                <w:sz w:val="18"/>
                <w:szCs w:val="18"/>
              </w:rPr>
            </w:pPr>
            <w:r>
              <w:rPr>
                <w:rFonts w:ascii="宋体" w:hAnsi="宋体" w:eastAsia="宋体" w:cs="宋体"/>
                <w:sz w:val="18"/>
                <w:szCs w:val="18"/>
              </w:rPr>
              <w:t>应收股利</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买入返售金融资产</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存货</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34,918,484.87</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26,064,134.00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40" w:after="40" w:line="240" w:lineRule="exact"/>
              <w:ind w:firstLine="360" w:firstLineChars="200"/>
              <w:jc w:val="left"/>
              <w:rPr>
                <w:rFonts w:ascii="宋体" w:hAnsi="宋体" w:eastAsia="宋体" w:cs="宋体"/>
                <w:sz w:val="18"/>
                <w:szCs w:val="18"/>
              </w:rPr>
            </w:pPr>
            <w:r>
              <w:rPr>
                <w:rFonts w:ascii="宋体" w:hAnsi="宋体" w:eastAsia="宋体" w:cs="宋体"/>
                <w:sz w:val="18"/>
                <w:szCs w:val="18"/>
              </w:rPr>
              <w:t>其中：数据资源</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合同资产</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持有待售资产</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一年内到期的非流动资产</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30,050,250.00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其他流动资产</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231,397.29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流动资产合计</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949,500,989.15</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1,012,412,966.70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非流动资产：</w:t>
            </w:r>
          </w:p>
        </w:tc>
        <w:tc>
          <w:tcPr>
            <w:tcW w:w="3213" w:type="dxa"/>
            <w:shd w:val="clear" w:color="auto" w:fill="D3D3D3"/>
            <w:vAlign w:val="center"/>
          </w:tcPr>
          <w:p/>
        </w:tc>
        <w:tc>
          <w:tcPr>
            <w:tcW w:w="3213" w:type="dxa"/>
            <w:shd w:val="clear" w:color="auto" w:fill="D3D3D3"/>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发放贷款和垫款</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债权投资</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80,474,561.64</w:t>
            </w: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其他债权投资</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长期应收款</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长期股权投资</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10,442,558.54</w:t>
            </w: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其他权益工具投资</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其他非流动金融资产</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投资性房地产</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8,441,538.53</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8,764,835.27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固定资产</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27,181,497.00</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28,892,666.74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在建工程</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322,925.26</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324,568.79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生产性生物资产</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油气资产</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使用权资产</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无形资产</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14,776,624.58</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15,392,345.22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40" w:after="40" w:line="240" w:lineRule="exact"/>
              <w:ind w:firstLine="360" w:firstLineChars="200"/>
              <w:jc w:val="left"/>
              <w:rPr>
                <w:rFonts w:ascii="宋体" w:hAnsi="宋体" w:eastAsia="宋体" w:cs="宋体"/>
                <w:sz w:val="18"/>
                <w:szCs w:val="18"/>
              </w:rPr>
            </w:pPr>
            <w:r>
              <w:rPr>
                <w:rFonts w:ascii="宋体" w:hAnsi="宋体" w:eastAsia="宋体" w:cs="宋体"/>
                <w:sz w:val="18"/>
                <w:szCs w:val="18"/>
              </w:rPr>
              <w:t>其中：数据资源</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开发支出</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40" w:after="40" w:line="240" w:lineRule="exact"/>
              <w:ind w:firstLine="360" w:firstLineChars="200"/>
              <w:jc w:val="left"/>
              <w:rPr>
                <w:rFonts w:ascii="宋体" w:hAnsi="宋体" w:eastAsia="宋体" w:cs="宋体"/>
                <w:sz w:val="18"/>
                <w:szCs w:val="18"/>
              </w:rPr>
            </w:pPr>
            <w:r>
              <w:rPr>
                <w:rFonts w:ascii="宋体" w:hAnsi="宋体" w:eastAsia="宋体" w:cs="宋体"/>
                <w:sz w:val="18"/>
                <w:szCs w:val="18"/>
              </w:rPr>
              <w:t>其中：数据资源</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商誉</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长期待摊费用</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625,624.77</w:t>
            </w: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递延所得税资产</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5,466,846.39</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5,753,771.76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其他非流动资产</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2,763,699.12</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2,899,299.12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非流动资产合计</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150,495,875.83</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62,027,486.90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资产总计</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1,099,996,864.98</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1,074,440,453.60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流动负债：</w:t>
            </w:r>
          </w:p>
        </w:tc>
        <w:tc>
          <w:tcPr>
            <w:tcW w:w="3213" w:type="dxa"/>
            <w:shd w:val="clear" w:color="auto" w:fill="D3D3D3"/>
            <w:vAlign w:val="center"/>
          </w:tcPr>
          <w:p/>
        </w:tc>
        <w:tc>
          <w:tcPr>
            <w:tcW w:w="3213" w:type="dxa"/>
            <w:shd w:val="clear" w:color="auto" w:fill="D3D3D3"/>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短期借款</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向中央银行借款</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拆入资金</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交易性金融负债</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衍生金融负债</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应付票据</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应付账款</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38,220,469.97</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52,521,140.01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预收款项</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437,738.10</w:t>
            </w: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合同负债</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20,057,108.57</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29,412,547.01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卖出回购金融资产款</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吸收存款及同业存放</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代理买卖证券款</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代理承销证券款</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应付职工薪酬</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2,363,533.28</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2,277,313.44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应交税费</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7,340,339.83</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2,592,043.70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其他应付款</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13,531,375.83</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10,754,518.74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360" w:firstLineChars="200"/>
              <w:jc w:val="left"/>
              <w:rPr>
                <w:rFonts w:ascii="宋体" w:hAnsi="宋体" w:eastAsia="宋体" w:cs="宋体"/>
                <w:sz w:val="18"/>
                <w:szCs w:val="18"/>
              </w:rPr>
            </w:pPr>
            <w:r>
              <w:rPr>
                <w:rFonts w:ascii="宋体" w:hAnsi="宋体" w:eastAsia="宋体" w:cs="宋体"/>
                <w:sz w:val="18"/>
                <w:szCs w:val="18"/>
              </w:rPr>
              <w:t>其中：应付利息</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900" w:firstLineChars="500"/>
              <w:jc w:val="left"/>
              <w:rPr>
                <w:rFonts w:ascii="宋体" w:hAnsi="宋体" w:eastAsia="宋体" w:cs="宋体"/>
                <w:sz w:val="18"/>
                <w:szCs w:val="18"/>
              </w:rPr>
            </w:pPr>
            <w:r>
              <w:rPr>
                <w:rFonts w:ascii="宋体" w:hAnsi="宋体" w:eastAsia="宋体" w:cs="宋体"/>
                <w:sz w:val="18"/>
                <w:szCs w:val="18"/>
              </w:rPr>
              <w:t>应付股利</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7,163,620.00</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6,152,399.80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应付手续费及佣金</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应付分保账款</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持有待售负债</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一年内到期的非流动负债</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其他流动负债</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762,668.43</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1,309,429.29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流动负债合计</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82,713,234.01</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98,866,992.19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非流动负债：</w:t>
            </w:r>
          </w:p>
        </w:tc>
        <w:tc>
          <w:tcPr>
            <w:tcW w:w="3213" w:type="dxa"/>
            <w:shd w:val="clear" w:color="auto" w:fill="D3D3D3"/>
            <w:vAlign w:val="center"/>
          </w:tcPr>
          <w:p/>
        </w:tc>
        <w:tc>
          <w:tcPr>
            <w:tcW w:w="3213" w:type="dxa"/>
            <w:shd w:val="clear" w:color="auto" w:fill="D3D3D3"/>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保险合同准备金</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长期借款</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应付债券</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360" w:firstLineChars="200"/>
              <w:jc w:val="left"/>
              <w:rPr>
                <w:rFonts w:ascii="宋体" w:hAnsi="宋体" w:eastAsia="宋体" w:cs="宋体"/>
                <w:sz w:val="18"/>
                <w:szCs w:val="18"/>
              </w:rPr>
            </w:pPr>
            <w:r>
              <w:rPr>
                <w:rFonts w:ascii="宋体" w:hAnsi="宋体" w:eastAsia="宋体" w:cs="宋体"/>
                <w:sz w:val="18"/>
                <w:szCs w:val="18"/>
              </w:rPr>
              <w:t>其中：优先股</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900" w:firstLineChars="500"/>
              <w:jc w:val="left"/>
              <w:rPr>
                <w:rFonts w:ascii="宋体" w:hAnsi="宋体" w:eastAsia="宋体" w:cs="宋体"/>
                <w:sz w:val="18"/>
                <w:szCs w:val="18"/>
              </w:rPr>
            </w:pPr>
            <w:r>
              <w:rPr>
                <w:rFonts w:ascii="宋体" w:hAnsi="宋体" w:eastAsia="宋体" w:cs="宋体"/>
                <w:sz w:val="18"/>
                <w:szCs w:val="18"/>
              </w:rPr>
              <w:t>永续债</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租赁负债</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长期应付款</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长期应付职工薪酬</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预计负债</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递延收益</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805,415.30</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939,279.50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递延所得税负债</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其他非流动负债</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非流动负债合计</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805,415.30</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939,279.50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负债合计</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83,518,649.31</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99,806,271.69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所有者权益：</w:t>
            </w:r>
          </w:p>
        </w:tc>
        <w:tc>
          <w:tcPr>
            <w:tcW w:w="3213" w:type="dxa"/>
            <w:shd w:val="clear" w:color="auto" w:fill="D3D3D3"/>
            <w:vAlign w:val="center"/>
          </w:tcPr>
          <w:p/>
        </w:tc>
        <w:tc>
          <w:tcPr>
            <w:tcW w:w="3213" w:type="dxa"/>
            <w:shd w:val="clear" w:color="auto" w:fill="D3D3D3"/>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股本</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194,983,750.00</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149,987,500.00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其他权益工具</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360" w:firstLineChars="200"/>
              <w:jc w:val="left"/>
              <w:rPr>
                <w:rFonts w:ascii="宋体" w:hAnsi="宋体" w:eastAsia="宋体" w:cs="宋体"/>
                <w:sz w:val="18"/>
                <w:szCs w:val="18"/>
              </w:rPr>
            </w:pPr>
            <w:r>
              <w:rPr>
                <w:rFonts w:ascii="宋体" w:hAnsi="宋体" w:eastAsia="宋体" w:cs="宋体"/>
                <w:sz w:val="18"/>
                <w:szCs w:val="18"/>
              </w:rPr>
              <w:t>其中：优先股</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900" w:firstLineChars="500"/>
              <w:jc w:val="left"/>
              <w:rPr>
                <w:rFonts w:ascii="宋体" w:hAnsi="宋体" w:eastAsia="宋体" w:cs="宋体"/>
                <w:sz w:val="18"/>
                <w:szCs w:val="18"/>
              </w:rPr>
            </w:pPr>
            <w:r>
              <w:rPr>
                <w:rFonts w:ascii="宋体" w:hAnsi="宋体" w:eastAsia="宋体" w:cs="宋体"/>
                <w:sz w:val="18"/>
                <w:szCs w:val="18"/>
              </w:rPr>
              <w:t>永续债</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资本公积</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262,967,841.64</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307,964,091.64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减：库存股</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其他综合收益</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专项储备</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826,615.34</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586,618.79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盈余公积</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56,083,854.77</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56,083,854.77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一般风险准备</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未分配利润</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501,616,153.92</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460,012,116.71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归属于母公司所有者权益合计</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1,016,478,215.67</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974,634,181.91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少数股东权益</w:t>
            </w:r>
          </w:p>
        </w:tc>
        <w:tc>
          <w:tcPr>
            <w:tcW w:w="3213" w:type="dxa"/>
            <w:vAlign w:val="center"/>
          </w:tcPr>
          <w:p>
            <w:pPr>
              <w:spacing w:before="0" w:after="0" w:line="240" w:lineRule="exact"/>
              <w:jc w:val="right"/>
              <w:rPr>
                <w:rFonts w:ascii="宋体" w:hAnsi="宋体" w:eastAsia="宋体" w:cs="宋体"/>
                <w:sz w:val="18"/>
                <w:szCs w:val="18"/>
              </w:rPr>
            </w:pPr>
          </w:p>
        </w:tc>
        <w:tc>
          <w:tcPr>
            <w:tcW w:w="3213"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所有者权益合计</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1,016,478,215.67</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974,634,181.91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13" w:type="dxa"/>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负债和所有者权益总计</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1,099,996,864.98</w:t>
            </w:r>
          </w:p>
        </w:tc>
        <w:tc>
          <w:tcPr>
            <w:tcW w:w="32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1,074,440,453.60</w:t>
            </w:r>
          </w:p>
        </w:tc>
      </w:tr>
    </w:tbl>
    <w:p>
      <w:pPr>
        <w:spacing w:before="100" w:after="100" w:line="240" w:lineRule="exact"/>
        <w:jc w:val="center"/>
        <w:rPr>
          <w:rFonts w:ascii="宋体" w:hAnsi="宋体" w:eastAsia="宋体" w:cs="宋体"/>
          <w:sz w:val="18"/>
          <w:szCs w:val="18"/>
        </w:rPr>
      </w:pPr>
      <w:bookmarkStart w:id="11" w:name="_Toc988900"/>
      <w:r>
        <w:rPr>
          <w:rFonts w:ascii="宋体" w:hAnsi="宋体" w:eastAsia="宋体" w:cs="宋体"/>
          <w:sz w:val="18"/>
          <w:szCs w:val="18"/>
        </w:rPr>
        <w:t xml:space="preserve">法定代表人：苏青林 </w:t>
      </w:r>
      <w:r>
        <w:rPr>
          <w:rFonts w:hint="eastAsia" w:ascii="宋体" w:hAnsi="宋体" w:eastAsia="宋体" w:cs="宋体"/>
          <w:sz w:val="18"/>
          <w:szCs w:val="18"/>
          <w:lang w:val="en-US" w:eastAsia="zh-CN"/>
        </w:rPr>
        <w:t xml:space="preserve">             </w:t>
      </w:r>
      <w:r>
        <w:rPr>
          <w:rFonts w:ascii="宋体" w:hAnsi="宋体" w:eastAsia="宋体" w:cs="宋体"/>
          <w:sz w:val="18"/>
          <w:szCs w:val="18"/>
        </w:rPr>
        <w:t xml:space="preserve">   主管会计工作负责人：程相伟 </w:t>
      </w:r>
      <w:r>
        <w:rPr>
          <w:rFonts w:hint="eastAsia" w:ascii="宋体" w:hAnsi="宋体" w:eastAsia="宋体" w:cs="宋体"/>
          <w:sz w:val="18"/>
          <w:szCs w:val="18"/>
          <w:lang w:val="en-US" w:eastAsia="zh-CN"/>
        </w:rPr>
        <w:t xml:space="preserve">             </w:t>
      </w:r>
      <w:r>
        <w:rPr>
          <w:rFonts w:ascii="宋体" w:hAnsi="宋体" w:eastAsia="宋体" w:cs="宋体"/>
          <w:sz w:val="18"/>
          <w:szCs w:val="18"/>
        </w:rPr>
        <w:t xml:space="preserve">   会计机构负责人：程相伟</w:t>
      </w:r>
    </w:p>
    <w:p>
      <w:pPr>
        <w:keepNext/>
        <w:keepLines/>
        <w:pageBreakBefore w:val="0"/>
        <w:widowControl w:val="0"/>
        <w:kinsoku/>
        <w:wordWrap/>
        <w:overflowPunct/>
        <w:topLinePunct w:val="0"/>
        <w:autoSpaceDE/>
        <w:autoSpaceDN/>
        <w:bidi w:val="0"/>
        <w:adjustRightInd/>
        <w:snapToGrid/>
        <w:spacing w:before="200" w:after="200" w:line="280" w:lineRule="exact"/>
        <w:jc w:val="left"/>
        <w:textAlignment w:val="auto"/>
        <w:outlineLvl w:val="2"/>
        <w:rPr>
          <w:rFonts w:ascii="宋体" w:hAnsi="宋体" w:eastAsia="宋体" w:cs="宋体"/>
          <w:b/>
          <w:bCs/>
          <w:sz w:val="21"/>
          <w:szCs w:val="21"/>
        </w:rPr>
      </w:pPr>
      <w:r>
        <w:rPr>
          <w:rFonts w:ascii="宋体" w:hAnsi="宋体" w:eastAsia="宋体" w:cs="宋体"/>
          <w:b/>
          <w:bCs/>
          <w:sz w:val="21"/>
          <w:szCs w:val="21"/>
        </w:rPr>
        <w:t>2、合并年初到报告期末利润表</w:t>
      </w:r>
      <w:bookmarkEnd w:id="11"/>
    </w:p>
    <w:p>
      <w:pPr>
        <w:spacing w:before="40" w:after="40" w:line="240" w:lineRule="exact"/>
        <w:jc w:val="right"/>
        <w:rPr>
          <w:rFonts w:ascii="宋体" w:hAnsi="宋体" w:eastAsia="宋体" w:cs="宋体"/>
          <w:sz w:val="18"/>
          <w:szCs w:val="18"/>
        </w:rPr>
      </w:pPr>
      <w:r>
        <w:rPr>
          <w:rFonts w:ascii="宋体" w:hAnsi="宋体" w:eastAsia="宋体" w:cs="宋体"/>
          <w:sz w:val="18"/>
          <w:szCs w:val="18"/>
        </w:rPr>
        <w:t>单位：元</w:t>
      </w:r>
    </w:p>
    <w:tbl>
      <w:tblPr>
        <w:tblStyle w:val="3"/>
        <w:tblW w:w="96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63"/>
        <w:gridCol w:w="2310"/>
        <w:gridCol w:w="2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jc w:val="center"/>
              <w:rPr>
                <w:rFonts w:ascii="宋体" w:hAnsi="宋体" w:eastAsia="宋体" w:cs="宋体"/>
                <w:sz w:val="18"/>
                <w:szCs w:val="18"/>
              </w:rPr>
            </w:pPr>
            <w:r>
              <w:rPr>
                <w:rFonts w:ascii="宋体" w:hAnsi="宋体" w:eastAsia="宋体" w:cs="宋体"/>
                <w:sz w:val="18"/>
                <w:szCs w:val="18"/>
              </w:rPr>
              <w:t>项目</w:t>
            </w:r>
          </w:p>
        </w:tc>
        <w:tc>
          <w:tcPr>
            <w:tcW w:w="2310" w:type="dxa"/>
            <w:shd w:val="clear" w:color="auto" w:fill="D3D3D3"/>
            <w:vAlign w:val="center"/>
          </w:tcPr>
          <w:p>
            <w:pPr>
              <w:spacing w:before="0" w:after="0" w:line="240" w:lineRule="exact"/>
              <w:jc w:val="center"/>
              <w:rPr>
                <w:rFonts w:ascii="宋体" w:hAnsi="宋体" w:eastAsia="宋体" w:cs="宋体"/>
                <w:sz w:val="18"/>
                <w:szCs w:val="18"/>
              </w:rPr>
            </w:pPr>
            <w:r>
              <w:rPr>
                <w:rFonts w:ascii="宋体" w:hAnsi="宋体" w:eastAsia="宋体" w:cs="宋体"/>
                <w:sz w:val="18"/>
                <w:szCs w:val="18"/>
              </w:rPr>
              <w:t>本期发生额</w:t>
            </w:r>
          </w:p>
        </w:tc>
        <w:tc>
          <w:tcPr>
            <w:tcW w:w="2166" w:type="dxa"/>
            <w:shd w:val="clear" w:color="auto" w:fill="D3D3D3"/>
            <w:vAlign w:val="center"/>
          </w:tcPr>
          <w:p>
            <w:pPr>
              <w:spacing w:before="0" w:after="0" w:line="240" w:lineRule="exact"/>
              <w:jc w:val="center"/>
              <w:rPr>
                <w:rFonts w:ascii="宋体" w:hAnsi="宋体" w:eastAsia="宋体" w:cs="宋体"/>
                <w:sz w:val="18"/>
                <w:szCs w:val="18"/>
              </w:rPr>
            </w:pPr>
            <w:r>
              <w:rPr>
                <w:rFonts w:ascii="宋体" w:hAnsi="宋体" w:eastAsia="宋体" w:cs="宋体"/>
                <w:sz w:val="18"/>
                <w:szCs w:val="18"/>
              </w:rPr>
              <w:t>上期发生额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一、营业总收入</w:t>
            </w:r>
          </w:p>
        </w:tc>
        <w:tc>
          <w:tcPr>
            <w:tcW w:w="231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395,264,847.29</w:t>
            </w:r>
          </w:p>
        </w:tc>
        <w:tc>
          <w:tcPr>
            <w:tcW w:w="2166"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376,580,264.49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其中：营业收入</w:t>
            </w:r>
          </w:p>
        </w:tc>
        <w:tc>
          <w:tcPr>
            <w:tcW w:w="231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395,264,847.29</w:t>
            </w:r>
          </w:p>
        </w:tc>
        <w:tc>
          <w:tcPr>
            <w:tcW w:w="2166"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376,580,264.49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ind w:firstLine="720" w:firstLineChars="400"/>
              <w:jc w:val="left"/>
              <w:rPr>
                <w:rFonts w:ascii="宋体" w:hAnsi="宋体" w:eastAsia="宋体" w:cs="宋体"/>
                <w:sz w:val="18"/>
                <w:szCs w:val="18"/>
              </w:rPr>
            </w:pPr>
            <w:r>
              <w:rPr>
                <w:rFonts w:ascii="宋体" w:hAnsi="宋体" w:eastAsia="宋体" w:cs="宋体"/>
                <w:sz w:val="18"/>
                <w:szCs w:val="18"/>
              </w:rPr>
              <w:t>利息收入</w:t>
            </w:r>
          </w:p>
        </w:tc>
        <w:tc>
          <w:tcPr>
            <w:tcW w:w="2310" w:type="dxa"/>
            <w:vAlign w:val="center"/>
          </w:tcPr>
          <w:p>
            <w:pPr>
              <w:spacing w:before="0" w:after="0" w:line="240" w:lineRule="exact"/>
              <w:jc w:val="right"/>
              <w:rPr>
                <w:rFonts w:ascii="宋体" w:hAnsi="宋体" w:eastAsia="宋体" w:cs="宋体"/>
                <w:sz w:val="18"/>
                <w:szCs w:val="18"/>
              </w:rPr>
            </w:pPr>
          </w:p>
        </w:tc>
        <w:tc>
          <w:tcPr>
            <w:tcW w:w="2166"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ind w:firstLine="720" w:firstLineChars="400"/>
              <w:jc w:val="left"/>
              <w:rPr>
                <w:rFonts w:ascii="宋体" w:hAnsi="宋体" w:eastAsia="宋体" w:cs="宋体"/>
                <w:sz w:val="18"/>
                <w:szCs w:val="18"/>
              </w:rPr>
            </w:pPr>
            <w:r>
              <w:rPr>
                <w:rFonts w:ascii="宋体" w:hAnsi="宋体" w:eastAsia="宋体" w:cs="宋体"/>
                <w:sz w:val="18"/>
                <w:szCs w:val="18"/>
              </w:rPr>
              <w:t>已赚保费</w:t>
            </w:r>
          </w:p>
        </w:tc>
        <w:tc>
          <w:tcPr>
            <w:tcW w:w="2310" w:type="dxa"/>
            <w:vAlign w:val="center"/>
          </w:tcPr>
          <w:p>
            <w:pPr>
              <w:spacing w:before="0" w:after="0" w:line="240" w:lineRule="exact"/>
              <w:jc w:val="right"/>
              <w:rPr>
                <w:rFonts w:ascii="宋体" w:hAnsi="宋体" w:eastAsia="宋体" w:cs="宋体"/>
                <w:sz w:val="18"/>
                <w:szCs w:val="18"/>
              </w:rPr>
            </w:pPr>
          </w:p>
        </w:tc>
        <w:tc>
          <w:tcPr>
            <w:tcW w:w="2166"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ind w:firstLine="720" w:firstLineChars="400"/>
              <w:jc w:val="left"/>
              <w:rPr>
                <w:rFonts w:ascii="宋体" w:hAnsi="宋体" w:eastAsia="宋体" w:cs="宋体"/>
                <w:sz w:val="18"/>
                <w:szCs w:val="18"/>
              </w:rPr>
            </w:pPr>
            <w:r>
              <w:rPr>
                <w:rFonts w:ascii="宋体" w:hAnsi="宋体" w:eastAsia="宋体" w:cs="宋体"/>
                <w:sz w:val="18"/>
                <w:szCs w:val="18"/>
              </w:rPr>
              <w:t>手续费及佣金收入</w:t>
            </w:r>
          </w:p>
        </w:tc>
        <w:tc>
          <w:tcPr>
            <w:tcW w:w="2310" w:type="dxa"/>
            <w:vAlign w:val="center"/>
          </w:tcPr>
          <w:p>
            <w:pPr>
              <w:spacing w:before="0" w:after="0" w:line="240" w:lineRule="exact"/>
              <w:jc w:val="right"/>
              <w:rPr>
                <w:rFonts w:ascii="宋体" w:hAnsi="宋体" w:eastAsia="宋体" w:cs="宋体"/>
                <w:sz w:val="18"/>
                <w:szCs w:val="18"/>
              </w:rPr>
            </w:pPr>
          </w:p>
        </w:tc>
        <w:tc>
          <w:tcPr>
            <w:tcW w:w="2166"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40" w:after="40" w:line="240" w:lineRule="exact"/>
              <w:jc w:val="left"/>
              <w:rPr>
                <w:rFonts w:ascii="宋体" w:hAnsi="宋体" w:eastAsia="宋体" w:cs="宋体"/>
                <w:sz w:val="18"/>
                <w:szCs w:val="18"/>
              </w:rPr>
            </w:pPr>
            <w:r>
              <w:rPr>
                <w:rFonts w:ascii="宋体" w:hAnsi="宋体" w:eastAsia="宋体" w:cs="宋体"/>
                <w:sz w:val="18"/>
                <w:szCs w:val="18"/>
              </w:rPr>
              <w:t>二、营业总成本</w:t>
            </w:r>
          </w:p>
        </w:tc>
        <w:tc>
          <w:tcPr>
            <w:tcW w:w="231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294,464,756.75</w:t>
            </w:r>
          </w:p>
        </w:tc>
        <w:tc>
          <w:tcPr>
            <w:tcW w:w="2166"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295,376,807.40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其中：营业成本</w:t>
            </w:r>
          </w:p>
        </w:tc>
        <w:tc>
          <w:tcPr>
            <w:tcW w:w="231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247,397,020.57</w:t>
            </w:r>
          </w:p>
        </w:tc>
        <w:tc>
          <w:tcPr>
            <w:tcW w:w="2166"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254,006,761.48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40" w:after="40" w:line="240" w:lineRule="exact"/>
              <w:ind w:firstLine="720" w:firstLineChars="400"/>
              <w:jc w:val="left"/>
              <w:rPr>
                <w:rFonts w:ascii="宋体" w:hAnsi="宋体" w:eastAsia="宋体" w:cs="宋体"/>
                <w:sz w:val="18"/>
                <w:szCs w:val="18"/>
              </w:rPr>
            </w:pPr>
            <w:r>
              <w:rPr>
                <w:rFonts w:ascii="宋体" w:hAnsi="宋体" w:eastAsia="宋体" w:cs="宋体"/>
                <w:sz w:val="18"/>
                <w:szCs w:val="18"/>
              </w:rPr>
              <w:t>利息支出</w:t>
            </w:r>
          </w:p>
        </w:tc>
        <w:tc>
          <w:tcPr>
            <w:tcW w:w="2310" w:type="dxa"/>
            <w:vAlign w:val="center"/>
          </w:tcPr>
          <w:p>
            <w:pPr>
              <w:spacing w:before="0" w:after="0" w:line="240" w:lineRule="exact"/>
              <w:jc w:val="right"/>
              <w:rPr>
                <w:rFonts w:ascii="宋体" w:hAnsi="宋体" w:eastAsia="宋体" w:cs="宋体"/>
                <w:sz w:val="18"/>
                <w:szCs w:val="18"/>
              </w:rPr>
            </w:pPr>
          </w:p>
        </w:tc>
        <w:tc>
          <w:tcPr>
            <w:tcW w:w="2166"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40" w:after="40" w:line="240" w:lineRule="exact"/>
              <w:ind w:firstLine="720" w:firstLineChars="400"/>
              <w:jc w:val="left"/>
              <w:rPr>
                <w:rFonts w:ascii="宋体" w:hAnsi="宋体" w:eastAsia="宋体" w:cs="宋体"/>
                <w:sz w:val="18"/>
                <w:szCs w:val="18"/>
              </w:rPr>
            </w:pPr>
            <w:r>
              <w:rPr>
                <w:rFonts w:ascii="宋体" w:hAnsi="宋体" w:eastAsia="宋体" w:cs="宋体"/>
                <w:sz w:val="18"/>
                <w:szCs w:val="18"/>
              </w:rPr>
              <w:t>手续费及佣金支出</w:t>
            </w:r>
          </w:p>
        </w:tc>
        <w:tc>
          <w:tcPr>
            <w:tcW w:w="2310" w:type="dxa"/>
            <w:vAlign w:val="center"/>
          </w:tcPr>
          <w:p>
            <w:pPr>
              <w:spacing w:before="0" w:after="0" w:line="240" w:lineRule="exact"/>
              <w:jc w:val="right"/>
              <w:rPr>
                <w:rFonts w:ascii="宋体" w:hAnsi="宋体" w:eastAsia="宋体" w:cs="宋体"/>
                <w:sz w:val="18"/>
                <w:szCs w:val="18"/>
              </w:rPr>
            </w:pPr>
          </w:p>
        </w:tc>
        <w:tc>
          <w:tcPr>
            <w:tcW w:w="2166"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40" w:after="40" w:line="240" w:lineRule="exact"/>
              <w:ind w:firstLine="720" w:firstLineChars="400"/>
              <w:jc w:val="left"/>
              <w:rPr>
                <w:rFonts w:ascii="宋体" w:hAnsi="宋体" w:eastAsia="宋体" w:cs="宋体"/>
                <w:sz w:val="18"/>
                <w:szCs w:val="18"/>
              </w:rPr>
            </w:pPr>
            <w:r>
              <w:rPr>
                <w:rFonts w:ascii="宋体" w:hAnsi="宋体" w:eastAsia="宋体" w:cs="宋体"/>
                <w:sz w:val="18"/>
                <w:szCs w:val="18"/>
              </w:rPr>
              <w:t>退保金</w:t>
            </w:r>
          </w:p>
        </w:tc>
        <w:tc>
          <w:tcPr>
            <w:tcW w:w="2310" w:type="dxa"/>
            <w:vAlign w:val="center"/>
          </w:tcPr>
          <w:p>
            <w:pPr>
              <w:spacing w:before="0" w:after="0" w:line="240" w:lineRule="exact"/>
              <w:jc w:val="right"/>
              <w:rPr>
                <w:rFonts w:ascii="宋体" w:hAnsi="宋体" w:eastAsia="宋体" w:cs="宋体"/>
                <w:sz w:val="18"/>
                <w:szCs w:val="18"/>
              </w:rPr>
            </w:pPr>
          </w:p>
        </w:tc>
        <w:tc>
          <w:tcPr>
            <w:tcW w:w="2166"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40" w:after="40" w:line="240" w:lineRule="exact"/>
              <w:ind w:firstLine="720" w:firstLineChars="400"/>
              <w:jc w:val="left"/>
              <w:rPr>
                <w:rFonts w:ascii="宋体" w:hAnsi="宋体" w:eastAsia="宋体" w:cs="宋体"/>
                <w:sz w:val="18"/>
                <w:szCs w:val="18"/>
              </w:rPr>
            </w:pPr>
            <w:r>
              <w:rPr>
                <w:rFonts w:ascii="宋体" w:hAnsi="宋体" w:eastAsia="宋体" w:cs="宋体"/>
                <w:sz w:val="18"/>
                <w:szCs w:val="18"/>
              </w:rPr>
              <w:t>赔付支出净额</w:t>
            </w:r>
          </w:p>
        </w:tc>
        <w:tc>
          <w:tcPr>
            <w:tcW w:w="2310" w:type="dxa"/>
            <w:vAlign w:val="center"/>
          </w:tcPr>
          <w:p>
            <w:pPr>
              <w:spacing w:before="0" w:after="0" w:line="240" w:lineRule="exact"/>
              <w:jc w:val="right"/>
              <w:rPr>
                <w:rFonts w:ascii="宋体" w:hAnsi="宋体" w:eastAsia="宋体" w:cs="宋体"/>
                <w:sz w:val="18"/>
                <w:szCs w:val="18"/>
              </w:rPr>
            </w:pPr>
          </w:p>
        </w:tc>
        <w:tc>
          <w:tcPr>
            <w:tcW w:w="2166"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40" w:after="40" w:line="240" w:lineRule="exact"/>
              <w:ind w:firstLine="720" w:firstLineChars="400"/>
              <w:jc w:val="left"/>
              <w:rPr>
                <w:rFonts w:ascii="宋体" w:hAnsi="宋体" w:eastAsia="宋体" w:cs="宋体"/>
                <w:sz w:val="18"/>
                <w:szCs w:val="18"/>
              </w:rPr>
            </w:pPr>
            <w:r>
              <w:rPr>
                <w:rFonts w:ascii="宋体" w:hAnsi="宋体" w:eastAsia="宋体" w:cs="宋体"/>
                <w:sz w:val="18"/>
                <w:szCs w:val="18"/>
              </w:rPr>
              <w:t>提取保险责任准备金净额</w:t>
            </w:r>
          </w:p>
        </w:tc>
        <w:tc>
          <w:tcPr>
            <w:tcW w:w="2310" w:type="dxa"/>
            <w:vAlign w:val="center"/>
          </w:tcPr>
          <w:p>
            <w:pPr>
              <w:spacing w:before="0" w:after="0" w:line="240" w:lineRule="exact"/>
              <w:jc w:val="right"/>
              <w:rPr>
                <w:rFonts w:ascii="宋体" w:hAnsi="宋体" w:eastAsia="宋体" w:cs="宋体"/>
                <w:sz w:val="18"/>
                <w:szCs w:val="18"/>
              </w:rPr>
            </w:pPr>
          </w:p>
        </w:tc>
        <w:tc>
          <w:tcPr>
            <w:tcW w:w="2166"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40" w:after="40" w:line="240" w:lineRule="exact"/>
              <w:ind w:firstLine="720" w:firstLineChars="400"/>
              <w:jc w:val="left"/>
              <w:rPr>
                <w:rFonts w:ascii="宋体" w:hAnsi="宋体" w:eastAsia="宋体" w:cs="宋体"/>
                <w:sz w:val="18"/>
                <w:szCs w:val="18"/>
              </w:rPr>
            </w:pPr>
            <w:r>
              <w:rPr>
                <w:rFonts w:ascii="宋体" w:hAnsi="宋体" w:eastAsia="宋体" w:cs="宋体"/>
                <w:sz w:val="18"/>
                <w:szCs w:val="18"/>
              </w:rPr>
              <w:t>保单红利支出</w:t>
            </w:r>
          </w:p>
        </w:tc>
        <w:tc>
          <w:tcPr>
            <w:tcW w:w="2310" w:type="dxa"/>
            <w:vAlign w:val="center"/>
          </w:tcPr>
          <w:p>
            <w:pPr>
              <w:spacing w:before="0" w:after="0" w:line="240" w:lineRule="exact"/>
              <w:jc w:val="right"/>
              <w:rPr>
                <w:rFonts w:ascii="宋体" w:hAnsi="宋体" w:eastAsia="宋体" w:cs="宋体"/>
                <w:sz w:val="18"/>
                <w:szCs w:val="18"/>
              </w:rPr>
            </w:pPr>
          </w:p>
        </w:tc>
        <w:tc>
          <w:tcPr>
            <w:tcW w:w="2166"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40" w:after="40" w:line="240" w:lineRule="exact"/>
              <w:ind w:firstLine="720" w:firstLineChars="400"/>
              <w:jc w:val="left"/>
              <w:rPr>
                <w:rFonts w:ascii="宋体" w:hAnsi="宋体" w:eastAsia="宋体" w:cs="宋体"/>
                <w:sz w:val="18"/>
                <w:szCs w:val="18"/>
              </w:rPr>
            </w:pPr>
            <w:r>
              <w:rPr>
                <w:rFonts w:ascii="宋体" w:hAnsi="宋体" w:eastAsia="宋体" w:cs="宋体"/>
                <w:sz w:val="18"/>
                <w:szCs w:val="18"/>
              </w:rPr>
              <w:t>分保费用</w:t>
            </w:r>
          </w:p>
        </w:tc>
        <w:tc>
          <w:tcPr>
            <w:tcW w:w="2310" w:type="dxa"/>
            <w:vAlign w:val="center"/>
          </w:tcPr>
          <w:p>
            <w:pPr>
              <w:spacing w:before="0" w:after="0" w:line="240" w:lineRule="exact"/>
              <w:jc w:val="right"/>
              <w:rPr>
                <w:rFonts w:ascii="宋体" w:hAnsi="宋体" w:eastAsia="宋体" w:cs="宋体"/>
                <w:sz w:val="18"/>
                <w:szCs w:val="18"/>
              </w:rPr>
            </w:pPr>
          </w:p>
        </w:tc>
        <w:tc>
          <w:tcPr>
            <w:tcW w:w="2166"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ind w:firstLine="720" w:firstLineChars="400"/>
              <w:jc w:val="left"/>
              <w:rPr>
                <w:rFonts w:ascii="宋体" w:hAnsi="宋体" w:eastAsia="宋体" w:cs="宋体"/>
                <w:sz w:val="18"/>
                <w:szCs w:val="18"/>
              </w:rPr>
            </w:pPr>
            <w:r>
              <w:rPr>
                <w:rFonts w:ascii="宋体" w:hAnsi="宋体" w:eastAsia="宋体" w:cs="宋体"/>
                <w:sz w:val="18"/>
                <w:szCs w:val="18"/>
              </w:rPr>
              <w:t>税金及附加</w:t>
            </w:r>
          </w:p>
        </w:tc>
        <w:tc>
          <w:tcPr>
            <w:tcW w:w="231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4,813,751.45</w:t>
            </w:r>
          </w:p>
        </w:tc>
        <w:tc>
          <w:tcPr>
            <w:tcW w:w="2166"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4,503,547.33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40" w:after="40" w:line="240" w:lineRule="exact"/>
              <w:ind w:firstLine="720" w:firstLineChars="400"/>
              <w:jc w:val="left"/>
              <w:rPr>
                <w:rFonts w:ascii="宋体" w:hAnsi="宋体" w:eastAsia="宋体" w:cs="宋体"/>
                <w:sz w:val="18"/>
                <w:szCs w:val="18"/>
              </w:rPr>
            </w:pPr>
            <w:r>
              <w:rPr>
                <w:rFonts w:ascii="宋体" w:hAnsi="宋体" w:eastAsia="宋体" w:cs="宋体"/>
                <w:sz w:val="18"/>
                <w:szCs w:val="18"/>
              </w:rPr>
              <w:t>销售费用</w:t>
            </w:r>
          </w:p>
        </w:tc>
        <w:tc>
          <w:tcPr>
            <w:tcW w:w="231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21,562,071.42</w:t>
            </w:r>
          </w:p>
        </w:tc>
        <w:tc>
          <w:tcPr>
            <w:tcW w:w="2166"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13,406,121.77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40" w:after="40" w:line="240" w:lineRule="exact"/>
              <w:ind w:firstLine="720" w:firstLineChars="400"/>
              <w:jc w:val="left"/>
              <w:rPr>
                <w:rFonts w:ascii="宋体" w:hAnsi="宋体" w:eastAsia="宋体" w:cs="宋体"/>
                <w:sz w:val="18"/>
                <w:szCs w:val="18"/>
              </w:rPr>
            </w:pPr>
            <w:r>
              <w:rPr>
                <w:rFonts w:ascii="宋体" w:hAnsi="宋体" w:eastAsia="宋体" w:cs="宋体"/>
                <w:sz w:val="18"/>
                <w:szCs w:val="18"/>
              </w:rPr>
              <w:t>管理费用</w:t>
            </w:r>
          </w:p>
        </w:tc>
        <w:tc>
          <w:tcPr>
            <w:tcW w:w="231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21,316,631.07</w:t>
            </w:r>
          </w:p>
        </w:tc>
        <w:tc>
          <w:tcPr>
            <w:tcW w:w="2166"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24,277,438.79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40" w:after="40" w:line="240" w:lineRule="exact"/>
              <w:ind w:firstLine="720" w:firstLineChars="400"/>
              <w:jc w:val="left"/>
              <w:rPr>
                <w:rFonts w:ascii="宋体" w:hAnsi="宋体" w:eastAsia="宋体" w:cs="宋体"/>
                <w:sz w:val="18"/>
                <w:szCs w:val="18"/>
              </w:rPr>
            </w:pPr>
            <w:r>
              <w:rPr>
                <w:rFonts w:ascii="宋体" w:hAnsi="宋体" w:eastAsia="宋体" w:cs="宋体"/>
                <w:sz w:val="18"/>
                <w:szCs w:val="18"/>
              </w:rPr>
              <w:t>研发费用</w:t>
            </w:r>
          </w:p>
        </w:tc>
        <w:tc>
          <w:tcPr>
            <w:tcW w:w="231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1,500,943.16</w:t>
            </w:r>
          </w:p>
        </w:tc>
        <w:tc>
          <w:tcPr>
            <w:tcW w:w="2166"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1,223,175.38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40" w:after="40" w:line="240" w:lineRule="exact"/>
              <w:ind w:firstLine="720" w:firstLineChars="400"/>
              <w:jc w:val="left"/>
              <w:rPr>
                <w:rFonts w:ascii="宋体" w:hAnsi="宋体" w:eastAsia="宋体" w:cs="宋体"/>
                <w:sz w:val="18"/>
                <w:szCs w:val="18"/>
              </w:rPr>
            </w:pPr>
            <w:r>
              <w:rPr>
                <w:rFonts w:ascii="宋体" w:hAnsi="宋体" w:eastAsia="宋体" w:cs="宋体"/>
                <w:sz w:val="18"/>
                <w:szCs w:val="18"/>
              </w:rPr>
              <w:t>财务费用</w:t>
            </w:r>
          </w:p>
        </w:tc>
        <w:tc>
          <w:tcPr>
            <w:tcW w:w="231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-2,125,660.92</w:t>
            </w:r>
          </w:p>
        </w:tc>
        <w:tc>
          <w:tcPr>
            <w:tcW w:w="2166"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-2,040,237.35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40" w:after="40" w:line="240" w:lineRule="exact"/>
              <w:ind w:firstLine="900" w:firstLineChars="500"/>
              <w:jc w:val="left"/>
              <w:rPr>
                <w:rFonts w:ascii="宋体" w:hAnsi="宋体" w:eastAsia="宋体" w:cs="宋体"/>
                <w:sz w:val="18"/>
                <w:szCs w:val="18"/>
              </w:rPr>
            </w:pPr>
            <w:r>
              <w:rPr>
                <w:rFonts w:ascii="宋体" w:hAnsi="宋体" w:eastAsia="宋体" w:cs="宋体"/>
                <w:sz w:val="18"/>
                <w:szCs w:val="18"/>
              </w:rPr>
              <w:t>其中：利息费用</w:t>
            </w:r>
          </w:p>
        </w:tc>
        <w:tc>
          <w:tcPr>
            <w:tcW w:w="2310" w:type="dxa"/>
            <w:vAlign w:val="center"/>
          </w:tcPr>
          <w:p>
            <w:pPr>
              <w:spacing w:before="0" w:after="0" w:line="240" w:lineRule="exact"/>
              <w:jc w:val="right"/>
              <w:rPr>
                <w:rFonts w:ascii="宋体" w:hAnsi="宋体" w:eastAsia="宋体" w:cs="宋体"/>
                <w:sz w:val="18"/>
                <w:szCs w:val="18"/>
              </w:rPr>
            </w:pPr>
          </w:p>
        </w:tc>
        <w:tc>
          <w:tcPr>
            <w:tcW w:w="2166"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40" w:after="40" w:line="240" w:lineRule="exact"/>
              <w:ind w:firstLine="1440" w:firstLineChars="800"/>
              <w:jc w:val="left"/>
              <w:rPr>
                <w:rFonts w:ascii="宋体" w:hAnsi="宋体" w:eastAsia="宋体" w:cs="宋体"/>
                <w:sz w:val="18"/>
                <w:szCs w:val="18"/>
              </w:rPr>
            </w:pPr>
            <w:r>
              <w:rPr>
                <w:rFonts w:ascii="宋体" w:hAnsi="宋体" w:eastAsia="宋体" w:cs="宋体"/>
                <w:sz w:val="18"/>
                <w:szCs w:val="18"/>
              </w:rPr>
              <w:t>利息收入</w:t>
            </w:r>
          </w:p>
        </w:tc>
        <w:tc>
          <w:tcPr>
            <w:tcW w:w="231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2,474,599.52</w:t>
            </w:r>
          </w:p>
        </w:tc>
        <w:tc>
          <w:tcPr>
            <w:tcW w:w="2166"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1,966,051.31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加：其他收益</w:t>
            </w:r>
          </w:p>
        </w:tc>
        <w:tc>
          <w:tcPr>
            <w:tcW w:w="231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367,659.13</w:t>
            </w:r>
          </w:p>
        </w:tc>
        <w:tc>
          <w:tcPr>
            <w:tcW w:w="2166"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1,179,857.86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40" w:after="40" w:line="240" w:lineRule="exact"/>
              <w:ind w:firstLine="540" w:firstLineChars="300"/>
              <w:jc w:val="left"/>
              <w:rPr>
                <w:rFonts w:ascii="宋体" w:hAnsi="宋体" w:eastAsia="宋体" w:cs="宋体"/>
                <w:sz w:val="18"/>
                <w:szCs w:val="18"/>
              </w:rPr>
            </w:pPr>
            <w:r>
              <w:rPr>
                <w:rFonts w:ascii="宋体" w:hAnsi="宋体" w:eastAsia="宋体" w:cs="宋体"/>
                <w:sz w:val="18"/>
                <w:szCs w:val="18"/>
              </w:rPr>
              <w:t>投资收益（损失以“－”号填列）</w:t>
            </w:r>
          </w:p>
        </w:tc>
        <w:tc>
          <w:tcPr>
            <w:tcW w:w="231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11,111,418.70</w:t>
            </w:r>
          </w:p>
        </w:tc>
        <w:tc>
          <w:tcPr>
            <w:tcW w:w="2166"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15,460,070.24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40" w:after="40" w:line="240" w:lineRule="exact"/>
              <w:ind w:firstLine="900" w:firstLineChars="500"/>
              <w:jc w:val="left"/>
              <w:rPr>
                <w:rFonts w:ascii="宋体" w:hAnsi="宋体" w:eastAsia="宋体" w:cs="宋体"/>
                <w:sz w:val="18"/>
                <w:szCs w:val="18"/>
              </w:rPr>
            </w:pPr>
            <w:r>
              <w:rPr>
                <w:rFonts w:ascii="宋体" w:hAnsi="宋体" w:eastAsia="宋体" w:cs="宋体"/>
                <w:sz w:val="18"/>
                <w:szCs w:val="18"/>
              </w:rPr>
              <w:t>其中：对联营企业和合营企业的投资收益</w:t>
            </w:r>
          </w:p>
        </w:tc>
        <w:tc>
          <w:tcPr>
            <w:tcW w:w="231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-2,606,541.46</w:t>
            </w:r>
          </w:p>
        </w:tc>
        <w:tc>
          <w:tcPr>
            <w:tcW w:w="2166"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40" w:after="40" w:line="240" w:lineRule="exact"/>
              <w:ind w:firstLine="1440" w:firstLineChars="800"/>
              <w:jc w:val="left"/>
              <w:rPr>
                <w:rFonts w:ascii="宋体" w:hAnsi="宋体" w:eastAsia="宋体" w:cs="宋体"/>
                <w:sz w:val="18"/>
                <w:szCs w:val="18"/>
              </w:rPr>
            </w:pPr>
            <w:r>
              <w:rPr>
                <w:rFonts w:ascii="宋体" w:hAnsi="宋体" w:eastAsia="宋体" w:cs="宋体"/>
                <w:sz w:val="18"/>
                <w:szCs w:val="18"/>
              </w:rPr>
              <w:t>以摊余成本计量的金融资产终止确认收益</w:t>
            </w:r>
          </w:p>
        </w:tc>
        <w:tc>
          <w:tcPr>
            <w:tcW w:w="2310" w:type="dxa"/>
            <w:vAlign w:val="center"/>
          </w:tcPr>
          <w:p>
            <w:pPr>
              <w:spacing w:before="0" w:after="0" w:line="240" w:lineRule="exact"/>
              <w:jc w:val="right"/>
              <w:rPr>
                <w:rFonts w:ascii="宋体" w:hAnsi="宋体" w:eastAsia="宋体" w:cs="宋体"/>
                <w:sz w:val="18"/>
                <w:szCs w:val="18"/>
              </w:rPr>
            </w:pPr>
          </w:p>
        </w:tc>
        <w:tc>
          <w:tcPr>
            <w:tcW w:w="2166"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40" w:after="40" w:line="240" w:lineRule="exact"/>
              <w:ind w:firstLine="540" w:firstLineChars="300"/>
              <w:jc w:val="left"/>
              <w:rPr>
                <w:rFonts w:ascii="宋体" w:hAnsi="宋体" w:eastAsia="宋体" w:cs="宋体"/>
                <w:sz w:val="18"/>
                <w:szCs w:val="18"/>
              </w:rPr>
            </w:pPr>
            <w:r>
              <w:rPr>
                <w:rFonts w:ascii="宋体" w:hAnsi="宋体" w:eastAsia="宋体" w:cs="宋体"/>
                <w:sz w:val="18"/>
                <w:szCs w:val="18"/>
              </w:rPr>
              <w:t>汇兑收益（损失以“-”号填列）</w:t>
            </w:r>
          </w:p>
        </w:tc>
        <w:tc>
          <w:tcPr>
            <w:tcW w:w="2310" w:type="dxa"/>
            <w:vAlign w:val="center"/>
          </w:tcPr>
          <w:p>
            <w:pPr>
              <w:spacing w:before="0" w:after="0" w:line="240" w:lineRule="exact"/>
              <w:jc w:val="right"/>
              <w:rPr>
                <w:rFonts w:ascii="宋体" w:hAnsi="宋体" w:eastAsia="宋体" w:cs="宋体"/>
                <w:sz w:val="18"/>
                <w:szCs w:val="18"/>
              </w:rPr>
            </w:pPr>
          </w:p>
        </w:tc>
        <w:tc>
          <w:tcPr>
            <w:tcW w:w="2166"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40" w:after="40" w:line="240" w:lineRule="exact"/>
              <w:ind w:firstLine="540" w:firstLineChars="300"/>
              <w:jc w:val="left"/>
              <w:rPr>
                <w:rFonts w:ascii="宋体" w:hAnsi="宋体" w:eastAsia="宋体" w:cs="宋体"/>
                <w:sz w:val="18"/>
                <w:szCs w:val="18"/>
              </w:rPr>
            </w:pPr>
            <w:r>
              <w:rPr>
                <w:rFonts w:ascii="宋体" w:hAnsi="宋体" w:eastAsia="宋体" w:cs="宋体"/>
                <w:sz w:val="18"/>
                <w:szCs w:val="18"/>
              </w:rPr>
              <w:t>净敞口套期收益（损失以“－”号填列）</w:t>
            </w:r>
          </w:p>
        </w:tc>
        <w:tc>
          <w:tcPr>
            <w:tcW w:w="2310" w:type="dxa"/>
            <w:vAlign w:val="center"/>
          </w:tcPr>
          <w:p>
            <w:pPr>
              <w:spacing w:before="0" w:after="0" w:line="240" w:lineRule="exact"/>
              <w:jc w:val="right"/>
              <w:rPr>
                <w:rFonts w:ascii="宋体" w:hAnsi="宋体" w:eastAsia="宋体" w:cs="宋体"/>
                <w:sz w:val="18"/>
                <w:szCs w:val="18"/>
              </w:rPr>
            </w:pPr>
          </w:p>
        </w:tc>
        <w:tc>
          <w:tcPr>
            <w:tcW w:w="2166"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40" w:after="40" w:line="240" w:lineRule="exact"/>
              <w:ind w:firstLine="540" w:firstLineChars="300"/>
              <w:jc w:val="left"/>
              <w:rPr>
                <w:rFonts w:ascii="宋体" w:hAnsi="宋体" w:eastAsia="宋体" w:cs="宋体"/>
                <w:sz w:val="18"/>
                <w:szCs w:val="18"/>
              </w:rPr>
            </w:pPr>
            <w:r>
              <w:rPr>
                <w:rFonts w:ascii="宋体" w:hAnsi="宋体" w:eastAsia="宋体" w:cs="宋体"/>
                <w:sz w:val="18"/>
                <w:szCs w:val="18"/>
              </w:rPr>
              <w:t>公允价值变动收益（损失以“－”号填列）</w:t>
            </w:r>
          </w:p>
        </w:tc>
        <w:tc>
          <w:tcPr>
            <w:tcW w:w="231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1,313,068.49</w:t>
            </w:r>
          </w:p>
        </w:tc>
        <w:tc>
          <w:tcPr>
            <w:tcW w:w="2166"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1,976,517.81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信用减值损失（损失以“-”号填列）</w:t>
            </w:r>
          </w:p>
        </w:tc>
        <w:tc>
          <w:tcPr>
            <w:tcW w:w="231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718,436.24</w:t>
            </w:r>
          </w:p>
        </w:tc>
        <w:tc>
          <w:tcPr>
            <w:tcW w:w="2166"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45,757.02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资产减值损失（损失以“-”号填列）</w:t>
            </w:r>
          </w:p>
        </w:tc>
        <w:tc>
          <w:tcPr>
            <w:tcW w:w="231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404,671.23</w:t>
            </w:r>
          </w:p>
        </w:tc>
        <w:tc>
          <w:tcPr>
            <w:tcW w:w="2166"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-112,850.52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资产处置收益（损失以“-”号填列）</w:t>
            </w:r>
          </w:p>
        </w:tc>
        <w:tc>
          <w:tcPr>
            <w:tcW w:w="2310" w:type="dxa"/>
            <w:vAlign w:val="center"/>
          </w:tcPr>
          <w:p>
            <w:pPr>
              <w:spacing w:before="0" w:after="0" w:line="240" w:lineRule="exact"/>
              <w:jc w:val="right"/>
              <w:rPr>
                <w:rFonts w:ascii="宋体" w:hAnsi="宋体" w:eastAsia="宋体" w:cs="宋体"/>
                <w:sz w:val="18"/>
                <w:szCs w:val="18"/>
              </w:rPr>
            </w:pPr>
          </w:p>
        </w:tc>
        <w:tc>
          <w:tcPr>
            <w:tcW w:w="2166"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三、营业利润（亏损以“－”号填列）</w:t>
            </w:r>
          </w:p>
        </w:tc>
        <w:tc>
          <w:tcPr>
            <w:tcW w:w="231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114,715,344.33</w:t>
            </w:r>
          </w:p>
        </w:tc>
        <w:tc>
          <w:tcPr>
            <w:tcW w:w="2166"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99,752,809.50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加：营业外收入</w:t>
            </w:r>
          </w:p>
        </w:tc>
        <w:tc>
          <w:tcPr>
            <w:tcW w:w="231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12,942.81</w:t>
            </w:r>
          </w:p>
        </w:tc>
        <w:tc>
          <w:tcPr>
            <w:tcW w:w="2166"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55,494.63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减：营业外支出</w:t>
            </w:r>
          </w:p>
        </w:tc>
        <w:tc>
          <w:tcPr>
            <w:tcW w:w="2310" w:type="dxa"/>
            <w:vAlign w:val="center"/>
          </w:tcPr>
          <w:p>
            <w:pPr>
              <w:spacing w:before="0" w:after="0" w:line="240" w:lineRule="exact"/>
              <w:jc w:val="right"/>
              <w:rPr>
                <w:rFonts w:ascii="宋体" w:hAnsi="宋体" w:eastAsia="宋体" w:cs="宋体"/>
                <w:sz w:val="18"/>
                <w:szCs w:val="18"/>
              </w:rPr>
            </w:pPr>
          </w:p>
        </w:tc>
        <w:tc>
          <w:tcPr>
            <w:tcW w:w="2166"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四、利润总额（亏损总额以“－”号填列）</w:t>
            </w:r>
          </w:p>
        </w:tc>
        <w:tc>
          <w:tcPr>
            <w:tcW w:w="231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114,728,287.14</w:t>
            </w:r>
          </w:p>
        </w:tc>
        <w:tc>
          <w:tcPr>
            <w:tcW w:w="2166"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99,808,304.13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减：所得税费用</w:t>
            </w:r>
          </w:p>
        </w:tc>
        <w:tc>
          <w:tcPr>
            <w:tcW w:w="231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28,127,999.93</w:t>
            </w:r>
          </w:p>
        </w:tc>
        <w:tc>
          <w:tcPr>
            <w:tcW w:w="2166"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24,934,377.90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五、净利润（净亏损以“－”号填列）</w:t>
            </w:r>
          </w:p>
        </w:tc>
        <w:tc>
          <w:tcPr>
            <w:tcW w:w="231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86,600,287.21</w:t>
            </w:r>
          </w:p>
        </w:tc>
        <w:tc>
          <w:tcPr>
            <w:tcW w:w="2166"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74,873,926.23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（一）按经营持续性分类</w:t>
            </w:r>
          </w:p>
        </w:tc>
        <w:tc>
          <w:tcPr>
            <w:tcW w:w="2310" w:type="dxa"/>
            <w:shd w:val="clear" w:color="auto" w:fill="D3D3D3"/>
            <w:vAlign w:val="center"/>
          </w:tcPr>
          <w:p/>
        </w:tc>
        <w:tc>
          <w:tcPr>
            <w:tcW w:w="2166" w:type="dxa"/>
            <w:shd w:val="clear" w:color="auto" w:fill="D3D3D3"/>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ind w:firstLine="360" w:firstLineChars="200"/>
              <w:jc w:val="left"/>
              <w:rPr>
                <w:rFonts w:ascii="宋体" w:hAnsi="宋体" w:eastAsia="宋体" w:cs="宋体"/>
                <w:sz w:val="18"/>
                <w:szCs w:val="18"/>
              </w:rPr>
            </w:pPr>
            <w:r>
              <w:rPr>
                <w:rFonts w:ascii="宋体" w:hAnsi="宋体" w:eastAsia="宋体" w:cs="宋体"/>
                <w:sz w:val="18"/>
                <w:szCs w:val="18"/>
              </w:rPr>
              <w:t>1.持续经营净利润（净亏损以“－”号填列）</w:t>
            </w:r>
          </w:p>
        </w:tc>
        <w:tc>
          <w:tcPr>
            <w:tcW w:w="231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86,600,287.21</w:t>
            </w:r>
          </w:p>
        </w:tc>
        <w:tc>
          <w:tcPr>
            <w:tcW w:w="2166"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74,873,926.23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ind w:firstLine="360" w:firstLineChars="200"/>
              <w:jc w:val="left"/>
              <w:rPr>
                <w:rFonts w:ascii="宋体" w:hAnsi="宋体" w:eastAsia="宋体" w:cs="宋体"/>
                <w:sz w:val="18"/>
                <w:szCs w:val="18"/>
              </w:rPr>
            </w:pPr>
            <w:r>
              <w:rPr>
                <w:rFonts w:ascii="宋体" w:hAnsi="宋体" w:eastAsia="宋体" w:cs="宋体"/>
                <w:sz w:val="18"/>
                <w:szCs w:val="18"/>
              </w:rPr>
              <w:t>2.终止经营净利润（净亏损以“－”号填列）</w:t>
            </w:r>
          </w:p>
        </w:tc>
        <w:tc>
          <w:tcPr>
            <w:tcW w:w="2310" w:type="dxa"/>
            <w:vAlign w:val="center"/>
          </w:tcPr>
          <w:p>
            <w:pPr>
              <w:spacing w:before="0" w:after="0" w:line="240" w:lineRule="exact"/>
              <w:jc w:val="right"/>
              <w:rPr>
                <w:rFonts w:ascii="宋体" w:hAnsi="宋体" w:eastAsia="宋体" w:cs="宋体"/>
                <w:sz w:val="18"/>
                <w:szCs w:val="18"/>
              </w:rPr>
            </w:pPr>
          </w:p>
        </w:tc>
        <w:tc>
          <w:tcPr>
            <w:tcW w:w="2166"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（二）按所有权归属分类</w:t>
            </w:r>
          </w:p>
        </w:tc>
        <w:tc>
          <w:tcPr>
            <w:tcW w:w="2310" w:type="dxa"/>
            <w:shd w:val="clear" w:color="auto" w:fill="D3D3D3"/>
            <w:vAlign w:val="center"/>
          </w:tcPr>
          <w:p/>
        </w:tc>
        <w:tc>
          <w:tcPr>
            <w:tcW w:w="2166" w:type="dxa"/>
            <w:shd w:val="clear" w:color="auto" w:fill="D3D3D3"/>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ind w:firstLine="360" w:firstLineChars="200"/>
              <w:jc w:val="left"/>
              <w:rPr>
                <w:rFonts w:ascii="宋体" w:hAnsi="宋体" w:eastAsia="宋体" w:cs="宋体"/>
                <w:sz w:val="18"/>
                <w:szCs w:val="18"/>
              </w:rPr>
            </w:pPr>
            <w:r>
              <w:rPr>
                <w:rFonts w:ascii="宋体" w:hAnsi="宋体" w:eastAsia="宋体" w:cs="宋体"/>
                <w:sz w:val="18"/>
                <w:szCs w:val="18"/>
              </w:rPr>
              <w:t>1.归属于母公司股东的净利润（净亏损以“-”号填列）</w:t>
            </w:r>
          </w:p>
        </w:tc>
        <w:tc>
          <w:tcPr>
            <w:tcW w:w="231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86,600,287.21</w:t>
            </w:r>
          </w:p>
        </w:tc>
        <w:tc>
          <w:tcPr>
            <w:tcW w:w="2166"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74,873,926.23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ind w:firstLine="360" w:firstLineChars="200"/>
              <w:jc w:val="left"/>
              <w:rPr>
                <w:rFonts w:ascii="宋体" w:hAnsi="宋体" w:eastAsia="宋体" w:cs="宋体"/>
                <w:sz w:val="18"/>
                <w:szCs w:val="18"/>
              </w:rPr>
            </w:pPr>
            <w:r>
              <w:rPr>
                <w:rFonts w:ascii="宋体" w:hAnsi="宋体" w:eastAsia="宋体" w:cs="宋体"/>
                <w:sz w:val="18"/>
                <w:szCs w:val="18"/>
              </w:rPr>
              <w:t>2.少数股东损益（净亏损以“-”号填列）</w:t>
            </w:r>
          </w:p>
        </w:tc>
        <w:tc>
          <w:tcPr>
            <w:tcW w:w="2310" w:type="dxa"/>
            <w:vAlign w:val="center"/>
          </w:tcPr>
          <w:p>
            <w:pPr>
              <w:spacing w:before="0" w:after="0" w:line="240" w:lineRule="exact"/>
              <w:jc w:val="right"/>
              <w:rPr>
                <w:rFonts w:ascii="宋体" w:hAnsi="宋体" w:eastAsia="宋体" w:cs="宋体"/>
                <w:sz w:val="18"/>
                <w:szCs w:val="18"/>
              </w:rPr>
            </w:pPr>
          </w:p>
        </w:tc>
        <w:tc>
          <w:tcPr>
            <w:tcW w:w="2166"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六、其他综合收益的税后净额</w:t>
            </w:r>
          </w:p>
        </w:tc>
        <w:tc>
          <w:tcPr>
            <w:tcW w:w="2310" w:type="dxa"/>
            <w:vAlign w:val="center"/>
          </w:tcPr>
          <w:p>
            <w:pPr>
              <w:spacing w:before="0" w:after="0" w:line="240" w:lineRule="exact"/>
              <w:jc w:val="right"/>
              <w:rPr>
                <w:rFonts w:ascii="宋体" w:hAnsi="宋体" w:eastAsia="宋体" w:cs="宋体"/>
                <w:sz w:val="18"/>
                <w:szCs w:val="18"/>
              </w:rPr>
            </w:pPr>
          </w:p>
        </w:tc>
        <w:tc>
          <w:tcPr>
            <w:tcW w:w="2166"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归属母公司所有者的其他综合收益的税后净额</w:t>
            </w:r>
          </w:p>
        </w:tc>
        <w:tc>
          <w:tcPr>
            <w:tcW w:w="2310" w:type="dxa"/>
            <w:vAlign w:val="center"/>
          </w:tcPr>
          <w:p>
            <w:pPr>
              <w:spacing w:before="0" w:after="0" w:line="240" w:lineRule="exact"/>
              <w:jc w:val="right"/>
              <w:rPr>
                <w:rFonts w:ascii="宋体" w:hAnsi="宋体" w:eastAsia="宋体" w:cs="宋体"/>
                <w:sz w:val="18"/>
                <w:szCs w:val="18"/>
              </w:rPr>
            </w:pPr>
          </w:p>
        </w:tc>
        <w:tc>
          <w:tcPr>
            <w:tcW w:w="2166"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ind w:firstLine="360" w:firstLineChars="200"/>
              <w:jc w:val="left"/>
              <w:rPr>
                <w:rFonts w:ascii="宋体" w:hAnsi="宋体" w:eastAsia="宋体" w:cs="宋体"/>
                <w:sz w:val="18"/>
                <w:szCs w:val="18"/>
              </w:rPr>
            </w:pPr>
            <w:r>
              <w:rPr>
                <w:rFonts w:ascii="宋体" w:hAnsi="宋体" w:eastAsia="宋体" w:cs="宋体"/>
                <w:sz w:val="18"/>
                <w:szCs w:val="18"/>
              </w:rPr>
              <w:t>（一）不能重分类进损益的其他综合收益</w:t>
            </w:r>
          </w:p>
        </w:tc>
        <w:tc>
          <w:tcPr>
            <w:tcW w:w="2310" w:type="dxa"/>
            <w:vAlign w:val="center"/>
          </w:tcPr>
          <w:p>
            <w:pPr>
              <w:spacing w:before="0" w:after="0" w:line="240" w:lineRule="exact"/>
              <w:jc w:val="right"/>
              <w:rPr>
                <w:rFonts w:ascii="宋体" w:hAnsi="宋体" w:eastAsia="宋体" w:cs="宋体"/>
                <w:sz w:val="18"/>
                <w:szCs w:val="18"/>
              </w:rPr>
            </w:pPr>
          </w:p>
        </w:tc>
        <w:tc>
          <w:tcPr>
            <w:tcW w:w="2166"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1.重新计量设定受益计划变动额</w:t>
            </w:r>
          </w:p>
        </w:tc>
        <w:tc>
          <w:tcPr>
            <w:tcW w:w="2310" w:type="dxa"/>
            <w:vAlign w:val="center"/>
          </w:tcPr>
          <w:p>
            <w:pPr>
              <w:spacing w:before="0" w:after="0" w:line="240" w:lineRule="exact"/>
              <w:jc w:val="right"/>
              <w:rPr>
                <w:rFonts w:ascii="宋体" w:hAnsi="宋体" w:eastAsia="宋体" w:cs="宋体"/>
                <w:sz w:val="18"/>
                <w:szCs w:val="18"/>
              </w:rPr>
            </w:pPr>
          </w:p>
        </w:tc>
        <w:tc>
          <w:tcPr>
            <w:tcW w:w="2166"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2.权益法下不能转损益的其他综合收益</w:t>
            </w:r>
          </w:p>
        </w:tc>
        <w:tc>
          <w:tcPr>
            <w:tcW w:w="2310" w:type="dxa"/>
            <w:vAlign w:val="center"/>
          </w:tcPr>
          <w:p>
            <w:pPr>
              <w:spacing w:before="0" w:after="0" w:line="240" w:lineRule="exact"/>
              <w:jc w:val="right"/>
              <w:rPr>
                <w:rFonts w:ascii="宋体" w:hAnsi="宋体" w:eastAsia="宋体" w:cs="宋体"/>
                <w:sz w:val="18"/>
                <w:szCs w:val="18"/>
              </w:rPr>
            </w:pPr>
          </w:p>
        </w:tc>
        <w:tc>
          <w:tcPr>
            <w:tcW w:w="2166"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3.其他权益工具投资公允价值变动</w:t>
            </w:r>
          </w:p>
        </w:tc>
        <w:tc>
          <w:tcPr>
            <w:tcW w:w="2310" w:type="dxa"/>
            <w:vAlign w:val="center"/>
          </w:tcPr>
          <w:p>
            <w:pPr>
              <w:spacing w:before="0" w:after="0" w:line="240" w:lineRule="exact"/>
              <w:jc w:val="right"/>
              <w:rPr>
                <w:rFonts w:ascii="宋体" w:hAnsi="宋体" w:eastAsia="宋体" w:cs="宋体"/>
                <w:sz w:val="18"/>
                <w:szCs w:val="18"/>
              </w:rPr>
            </w:pPr>
          </w:p>
        </w:tc>
        <w:tc>
          <w:tcPr>
            <w:tcW w:w="2166"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4.企业自身信用风险公允价值变动</w:t>
            </w:r>
          </w:p>
        </w:tc>
        <w:tc>
          <w:tcPr>
            <w:tcW w:w="2310" w:type="dxa"/>
            <w:vAlign w:val="center"/>
          </w:tcPr>
          <w:p>
            <w:pPr>
              <w:spacing w:before="0" w:after="0" w:line="240" w:lineRule="exact"/>
              <w:jc w:val="right"/>
              <w:rPr>
                <w:rFonts w:ascii="宋体" w:hAnsi="宋体" w:eastAsia="宋体" w:cs="宋体"/>
                <w:sz w:val="18"/>
                <w:szCs w:val="18"/>
              </w:rPr>
            </w:pPr>
          </w:p>
        </w:tc>
        <w:tc>
          <w:tcPr>
            <w:tcW w:w="2166"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5.其他</w:t>
            </w:r>
          </w:p>
        </w:tc>
        <w:tc>
          <w:tcPr>
            <w:tcW w:w="2310" w:type="dxa"/>
            <w:vAlign w:val="center"/>
          </w:tcPr>
          <w:p>
            <w:pPr>
              <w:spacing w:before="0" w:after="0" w:line="240" w:lineRule="exact"/>
              <w:jc w:val="right"/>
              <w:rPr>
                <w:rFonts w:ascii="宋体" w:hAnsi="宋体" w:eastAsia="宋体" w:cs="宋体"/>
                <w:sz w:val="18"/>
                <w:szCs w:val="18"/>
              </w:rPr>
            </w:pPr>
          </w:p>
        </w:tc>
        <w:tc>
          <w:tcPr>
            <w:tcW w:w="2166"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ind w:firstLine="360" w:firstLineChars="200"/>
              <w:jc w:val="left"/>
              <w:rPr>
                <w:rFonts w:ascii="宋体" w:hAnsi="宋体" w:eastAsia="宋体" w:cs="宋体"/>
                <w:sz w:val="18"/>
                <w:szCs w:val="18"/>
              </w:rPr>
            </w:pPr>
            <w:r>
              <w:rPr>
                <w:rFonts w:ascii="宋体" w:hAnsi="宋体" w:eastAsia="宋体" w:cs="宋体"/>
                <w:sz w:val="18"/>
                <w:szCs w:val="18"/>
              </w:rPr>
              <w:t>（二）将重分类进损益的其他综合收益</w:t>
            </w:r>
          </w:p>
        </w:tc>
        <w:tc>
          <w:tcPr>
            <w:tcW w:w="2310" w:type="dxa"/>
            <w:vAlign w:val="center"/>
          </w:tcPr>
          <w:p>
            <w:pPr>
              <w:spacing w:before="0" w:after="0" w:line="240" w:lineRule="exact"/>
              <w:jc w:val="right"/>
              <w:rPr>
                <w:rFonts w:ascii="宋体" w:hAnsi="宋体" w:eastAsia="宋体" w:cs="宋体"/>
                <w:sz w:val="18"/>
                <w:szCs w:val="18"/>
              </w:rPr>
            </w:pPr>
          </w:p>
        </w:tc>
        <w:tc>
          <w:tcPr>
            <w:tcW w:w="2166"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1.权益法下可转损益的其他综合收益</w:t>
            </w:r>
          </w:p>
        </w:tc>
        <w:tc>
          <w:tcPr>
            <w:tcW w:w="2310" w:type="dxa"/>
            <w:vAlign w:val="center"/>
          </w:tcPr>
          <w:p>
            <w:pPr>
              <w:spacing w:before="0" w:after="0" w:line="240" w:lineRule="exact"/>
              <w:jc w:val="right"/>
              <w:rPr>
                <w:rFonts w:ascii="宋体" w:hAnsi="宋体" w:eastAsia="宋体" w:cs="宋体"/>
                <w:sz w:val="18"/>
                <w:szCs w:val="18"/>
              </w:rPr>
            </w:pPr>
          </w:p>
        </w:tc>
        <w:tc>
          <w:tcPr>
            <w:tcW w:w="2166"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2.其他债权投资公允价值变动</w:t>
            </w:r>
          </w:p>
        </w:tc>
        <w:tc>
          <w:tcPr>
            <w:tcW w:w="2310" w:type="dxa"/>
            <w:vAlign w:val="center"/>
          </w:tcPr>
          <w:p>
            <w:pPr>
              <w:spacing w:before="0" w:after="0" w:line="240" w:lineRule="exact"/>
              <w:jc w:val="right"/>
              <w:rPr>
                <w:rFonts w:ascii="宋体" w:hAnsi="宋体" w:eastAsia="宋体" w:cs="宋体"/>
                <w:sz w:val="18"/>
                <w:szCs w:val="18"/>
              </w:rPr>
            </w:pPr>
          </w:p>
        </w:tc>
        <w:tc>
          <w:tcPr>
            <w:tcW w:w="2166"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3.金融资产重分类计入其他综合收益的金额</w:t>
            </w:r>
          </w:p>
        </w:tc>
        <w:tc>
          <w:tcPr>
            <w:tcW w:w="2310" w:type="dxa"/>
            <w:vAlign w:val="center"/>
          </w:tcPr>
          <w:p>
            <w:pPr>
              <w:spacing w:before="0" w:after="0" w:line="240" w:lineRule="exact"/>
              <w:jc w:val="right"/>
              <w:rPr>
                <w:rFonts w:ascii="宋体" w:hAnsi="宋体" w:eastAsia="宋体" w:cs="宋体"/>
                <w:sz w:val="18"/>
                <w:szCs w:val="18"/>
              </w:rPr>
            </w:pPr>
          </w:p>
        </w:tc>
        <w:tc>
          <w:tcPr>
            <w:tcW w:w="2166"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4.其他债权投资信用减值准备</w:t>
            </w:r>
          </w:p>
        </w:tc>
        <w:tc>
          <w:tcPr>
            <w:tcW w:w="2310" w:type="dxa"/>
            <w:vAlign w:val="center"/>
          </w:tcPr>
          <w:p>
            <w:pPr>
              <w:spacing w:before="0" w:after="0" w:line="240" w:lineRule="exact"/>
              <w:jc w:val="right"/>
              <w:rPr>
                <w:rFonts w:ascii="宋体" w:hAnsi="宋体" w:eastAsia="宋体" w:cs="宋体"/>
                <w:sz w:val="18"/>
                <w:szCs w:val="18"/>
              </w:rPr>
            </w:pPr>
          </w:p>
        </w:tc>
        <w:tc>
          <w:tcPr>
            <w:tcW w:w="2166"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5.现金流量套期储备</w:t>
            </w:r>
          </w:p>
        </w:tc>
        <w:tc>
          <w:tcPr>
            <w:tcW w:w="2310" w:type="dxa"/>
            <w:vAlign w:val="center"/>
          </w:tcPr>
          <w:p>
            <w:pPr>
              <w:spacing w:before="0" w:after="0" w:line="240" w:lineRule="exact"/>
              <w:jc w:val="right"/>
              <w:rPr>
                <w:rFonts w:ascii="宋体" w:hAnsi="宋体" w:eastAsia="宋体" w:cs="宋体"/>
                <w:sz w:val="18"/>
                <w:szCs w:val="18"/>
              </w:rPr>
            </w:pPr>
          </w:p>
        </w:tc>
        <w:tc>
          <w:tcPr>
            <w:tcW w:w="2166"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6.外币财务报表折算差额</w:t>
            </w:r>
          </w:p>
        </w:tc>
        <w:tc>
          <w:tcPr>
            <w:tcW w:w="2310" w:type="dxa"/>
            <w:vAlign w:val="center"/>
          </w:tcPr>
          <w:p>
            <w:pPr>
              <w:spacing w:before="0" w:after="0" w:line="240" w:lineRule="exact"/>
              <w:jc w:val="right"/>
              <w:rPr>
                <w:rFonts w:ascii="宋体" w:hAnsi="宋体" w:eastAsia="宋体" w:cs="宋体"/>
                <w:sz w:val="18"/>
                <w:szCs w:val="18"/>
              </w:rPr>
            </w:pPr>
          </w:p>
        </w:tc>
        <w:tc>
          <w:tcPr>
            <w:tcW w:w="2166"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7.其他</w:t>
            </w:r>
          </w:p>
        </w:tc>
        <w:tc>
          <w:tcPr>
            <w:tcW w:w="2310" w:type="dxa"/>
            <w:vAlign w:val="center"/>
          </w:tcPr>
          <w:p>
            <w:pPr>
              <w:spacing w:before="0" w:after="0" w:line="240" w:lineRule="exact"/>
              <w:jc w:val="right"/>
              <w:rPr>
                <w:rFonts w:ascii="宋体" w:hAnsi="宋体" w:eastAsia="宋体" w:cs="宋体"/>
                <w:sz w:val="18"/>
                <w:szCs w:val="18"/>
              </w:rPr>
            </w:pPr>
          </w:p>
        </w:tc>
        <w:tc>
          <w:tcPr>
            <w:tcW w:w="2166"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归属于少数股东的其他综合收益的税后净额</w:t>
            </w:r>
          </w:p>
        </w:tc>
        <w:tc>
          <w:tcPr>
            <w:tcW w:w="2310" w:type="dxa"/>
            <w:vAlign w:val="center"/>
          </w:tcPr>
          <w:p>
            <w:pPr>
              <w:spacing w:before="0" w:after="0" w:line="240" w:lineRule="exact"/>
              <w:jc w:val="right"/>
              <w:rPr>
                <w:rFonts w:ascii="宋体" w:hAnsi="宋体" w:eastAsia="宋体" w:cs="宋体"/>
                <w:sz w:val="18"/>
                <w:szCs w:val="18"/>
              </w:rPr>
            </w:pPr>
          </w:p>
        </w:tc>
        <w:tc>
          <w:tcPr>
            <w:tcW w:w="2166"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七、综合收益总额</w:t>
            </w:r>
          </w:p>
        </w:tc>
        <w:tc>
          <w:tcPr>
            <w:tcW w:w="231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86,600,287.21</w:t>
            </w:r>
          </w:p>
        </w:tc>
        <w:tc>
          <w:tcPr>
            <w:tcW w:w="2166"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74,873,926.23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（一）归属于母公司所有者的综合收益总额</w:t>
            </w:r>
          </w:p>
        </w:tc>
        <w:tc>
          <w:tcPr>
            <w:tcW w:w="231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86,600,287.21</w:t>
            </w:r>
          </w:p>
        </w:tc>
        <w:tc>
          <w:tcPr>
            <w:tcW w:w="2166"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74,873,926.23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（二）归属于少数股东的综合收益总额</w:t>
            </w:r>
          </w:p>
        </w:tc>
        <w:tc>
          <w:tcPr>
            <w:tcW w:w="2310" w:type="dxa"/>
            <w:vAlign w:val="center"/>
          </w:tcPr>
          <w:p>
            <w:pPr>
              <w:spacing w:before="0" w:after="0" w:line="240" w:lineRule="exact"/>
              <w:jc w:val="right"/>
              <w:rPr>
                <w:rFonts w:ascii="宋体" w:hAnsi="宋体" w:eastAsia="宋体" w:cs="宋体"/>
                <w:sz w:val="18"/>
                <w:szCs w:val="18"/>
              </w:rPr>
            </w:pPr>
          </w:p>
        </w:tc>
        <w:tc>
          <w:tcPr>
            <w:tcW w:w="2166"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八、每股收益：</w:t>
            </w:r>
          </w:p>
        </w:tc>
        <w:tc>
          <w:tcPr>
            <w:tcW w:w="2310" w:type="dxa"/>
            <w:shd w:val="clear" w:color="auto" w:fill="D3D3D3"/>
            <w:vAlign w:val="center"/>
          </w:tcPr>
          <w:p/>
        </w:tc>
        <w:tc>
          <w:tcPr>
            <w:tcW w:w="2166" w:type="dxa"/>
            <w:shd w:val="clear" w:color="auto" w:fill="D3D3D3"/>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（一）基本每股收益</w:t>
            </w:r>
          </w:p>
        </w:tc>
        <w:tc>
          <w:tcPr>
            <w:tcW w:w="231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0.44</w:t>
            </w:r>
          </w:p>
        </w:tc>
        <w:tc>
          <w:tcPr>
            <w:tcW w:w="2166"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63"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（二）稀释每股收益</w:t>
            </w:r>
          </w:p>
        </w:tc>
        <w:tc>
          <w:tcPr>
            <w:tcW w:w="231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0.44</w:t>
            </w:r>
          </w:p>
        </w:tc>
        <w:tc>
          <w:tcPr>
            <w:tcW w:w="2166"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0.38</w:t>
            </w:r>
          </w:p>
        </w:tc>
      </w:tr>
    </w:tbl>
    <w:p>
      <w:pPr>
        <w:spacing w:before="100" w:after="100" w:line="240" w:lineRule="exact"/>
        <w:jc w:val="center"/>
        <w:rPr>
          <w:rFonts w:ascii="宋体" w:hAnsi="宋体" w:eastAsia="宋体" w:cs="宋体"/>
          <w:sz w:val="18"/>
          <w:szCs w:val="18"/>
        </w:rPr>
      </w:pPr>
      <w:r>
        <w:rPr>
          <w:rFonts w:ascii="宋体" w:hAnsi="宋体" w:eastAsia="宋体" w:cs="宋体"/>
          <w:sz w:val="18"/>
          <w:szCs w:val="18"/>
        </w:rPr>
        <w:t xml:space="preserve">法定代表人：苏青林 </w:t>
      </w:r>
      <w:r>
        <w:rPr>
          <w:rFonts w:hint="eastAsia" w:ascii="宋体" w:hAnsi="宋体" w:eastAsia="宋体" w:cs="宋体"/>
          <w:sz w:val="18"/>
          <w:szCs w:val="18"/>
          <w:lang w:val="en-US" w:eastAsia="zh-CN"/>
        </w:rPr>
        <w:t xml:space="preserve">             </w:t>
      </w:r>
      <w:r>
        <w:rPr>
          <w:rFonts w:ascii="宋体" w:hAnsi="宋体" w:eastAsia="宋体" w:cs="宋体"/>
          <w:sz w:val="18"/>
          <w:szCs w:val="18"/>
        </w:rPr>
        <w:t xml:space="preserve">   主管会计工作负责人：程相伟 </w:t>
      </w:r>
      <w:r>
        <w:rPr>
          <w:rFonts w:hint="eastAsia" w:ascii="宋体" w:hAnsi="宋体" w:eastAsia="宋体" w:cs="宋体"/>
          <w:sz w:val="18"/>
          <w:szCs w:val="18"/>
          <w:lang w:val="en-US" w:eastAsia="zh-CN"/>
        </w:rPr>
        <w:t xml:space="preserve">             </w:t>
      </w:r>
      <w:r>
        <w:rPr>
          <w:rFonts w:ascii="宋体" w:hAnsi="宋体" w:eastAsia="宋体" w:cs="宋体"/>
          <w:sz w:val="18"/>
          <w:szCs w:val="18"/>
        </w:rPr>
        <w:t xml:space="preserve">   会计机构负责人：程相伟</w:t>
      </w:r>
    </w:p>
    <w:p>
      <w:pPr>
        <w:keepNext/>
        <w:keepLines/>
        <w:pageBreakBefore w:val="0"/>
        <w:widowControl w:val="0"/>
        <w:kinsoku/>
        <w:wordWrap/>
        <w:overflowPunct/>
        <w:topLinePunct w:val="0"/>
        <w:autoSpaceDE/>
        <w:autoSpaceDN/>
        <w:bidi w:val="0"/>
        <w:adjustRightInd/>
        <w:snapToGrid/>
        <w:spacing w:before="200" w:after="200" w:line="280" w:lineRule="exact"/>
        <w:jc w:val="left"/>
        <w:textAlignment w:val="auto"/>
        <w:outlineLvl w:val="2"/>
        <w:rPr>
          <w:rFonts w:ascii="宋体" w:hAnsi="宋体" w:eastAsia="宋体" w:cs="宋体"/>
          <w:b/>
          <w:bCs/>
          <w:sz w:val="21"/>
          <w:szCs w:val="21"/>
        </w:rPr>
      </w:pPr>
      <w:bookmarkStart w:id="12" w:name="_Toc988901"/>
      <w:r>
        <w:rPr>
          <w:rFonts w:ascii="宋体" w:hAnsi="宋体" w:eastAsia="宋体" w:cs="宋体"/>
          <w:b/>
          <w:bCs/>
          <w:sz w:val="21"/>
          <w:szCs w:val="21"/>
        </w:rPr>
        <w:t>3、合并年初到报告期末现金流量表</w:t>
      </w:r>
      <w:bookmarkEnd w:id="12"/>
    </w:p>
    <w:p>
      <w:pPr>
        <w:spacing w:before="0" w:after="0" w:line="240" w:lineRule="exact"/>
        <w:jc w:val="right"/>
        <w:rPr>
          <w:rFonts w:ascii="宋体" w:hAnsi="宋体" w:eastAsia="宋体" w:cs="宋体"/>
          <w:sz w:val="18"/>
          <w:szCs w:val="18"/>
        </w:rPr>
      </w:pPr>
      <w:r>
        <w:rPr>
          <w:rFonts w:ascii="宋体" w:hAnsi="宋体" w:eastAsia="宋体" w:cs="宋体"/>
          <w:sz w:val="18"/>
          <w:szCs w:val="18"/>
        </w:rPr>
        <w:t>单位：元</w:t>
      </w:r>
    </w:p>
    <w:tbl>
      <w:tblPr>
        <w:tblStyle w:val="3"/>
        <w:tblW w:w="96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38"/>
        <w:gridCol w:w="2430"/>
        <w:gridCol w:w="22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jc w:val="center"/>
              <w:rPr>
                <w:rFonts w:ascii="宋体" w:hAnsi="宋体" w:eastAsia="宋体" w:cs="宋体"/>
                <w:sz w:val="18"/>
                <w:szCs w:val="18"/>
              </w:rPr>
            </w:pPr>
            <w:r>
              <w:rPr>
                <w:rFonts w:ascii="宋体" w:hAnsi="宋体" w:eastAsia="宋体" w:cs="宋体"/>
                <w:sz w:val="18"/>
                <w:szCs w:val="18"/>
              </w:rPr>
              <w:t>项目</w:t>
            </w:r>
          </w:p>
        </w:tc>
        <w:tc>
          <w:tcPr>
            <w:tcW w:w="2430" w:type="dxa"/>
            <w:shd w:val="clear" w:color="auto" w:fill="D3D3D3"/>
            <w:vAlign w:val="center"/>
          </w:tcPr>
          <w:p>
            <w:pPr>
              <w:spacing w:before="0" w:after="0" w:line="240" w:lineRule="exact"/>
              <w:jc w:val="center"/>
              <w:rPr>
                <w:rFonts w:ascii="宋体" w:hAnsi="宋体" w:eastAsia="宋体" w:cs="宋体"/>
                <w:sz w:val="18"/>
                <w:szCs w:val="18"/>
              </w:rPr>
            </w:pPr>
            <w:r>
              <w:rPr>
                <w:rFonts w:ascii="宋体" w:hAnsi="宋体" w:eastAsia="宋体" w:cs="宋体"/>
                <w:sz w:val="18"/>
                <w:szCs w:val="18"/>
              </w:rPr>
              <w:t>本期发生额</w:t>
            </w:r>
          </w:p>
        </w:tc>
        <w:tc>
          <w:tcPr>
            <w:tcW w:w="2271" w:type="dxa"/>
            <w:shd w:val="clear" w:color="auto" w:fill="D3D3D3"/>
            <w:vAlign w:val="center"/>
          </w:tcPr>
          <w:p>
            <w:pPr>
              <w:spacing w:before="0" w:after="0" w:line="240" w:lineRule="exact"/>
              <w:jc w:val="center"/>
              <w:rPr>
                <w:rFonts w:ascii="宋体" w:hAnsi="宋体" w:eastAsia="宋体" w:cs="宋体"/>
                <w:sz w:val="18"/>
                <w:szCs w:val="18"/>
              </w:rPr>
            </w:pPr>
            <w:r>
              <w:rPr>
                <w:rFonts w:ascii="宋体" w:hAnsi="宋体" w:eastAsia="宋体" w:cs="宋体"/>
                <w:sz w:val="18"/>
                <w:szCs w:val="18"/>
              </w:rPr>
              <w:t>上期发生额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一、经营活动产生的现金流量：</w:t>
            </w:r>
          </w:p>
        </w:tc>
        <w:tc>
          <w:tcPr>
            <w:tcW w:w="2430" w:type="dxa"/>
            <w:shd w:val="clear" w:color="auto" w:fill="D3D3D3"/>
            <w:vAlign w:val="center"/>
          </w:tcPr>
          <w:p/>
        </w:tc>
        <w:tc>
          <w:tcPr>
            <w:tcW w:w="2271" w:type="dxa"/>
            <w:shd w:val="clear" w:color="auto" w:fill="D3D3D3"/>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销售商品、提供劳务收到的现金</w:t>
            </w:r>
          </w:p>
        </w:tc>
        <w:tc>
          <w:tcPr>
            <w:tcW w:w="243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417,866,858.39</w:t>
            </w:r>
          </w:p>
        </w:tc>
        <w:tc>
          <w:tcPr>
            <w:tcW w:w="2271"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398,434,251.13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客户存款和同业存放款项净增加额</w:t>
            </w:r>
          </w:p>
        </w:tc>
        <w:tc>
          <w:tcPr>
            <w:tcW w:w="2430" w:type="dxa"/>
            <w:vAlign w:val="center"/>
          </w:tcPr>
          <w:p>
            <w:pPr>
              <w:spacing w:before="0" w:after="0" w:line="240" w:lineRule="exact"/>
              <w:jc w:val="right"/>
              <w:rPr>
                <w:rFonts w:ascii="宋体" w:hAnsi="宋体" w:eastAsia="宋体" w:cs="宋体"/>
                <w:sz w:val="18"/>
                <w:szCs w:val="18"/>
              </w:rPr>
            </w:pPr>
          </w:p>
        </w:tc>
        <w:tc>
          <w:tcPr>
            <w:tcW w:w="2271"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向中央银行借款净增加额</w:t>
            </w:r>
          </w:p>
        </w:tc>
        <w:tc>
          <w:tcPr>
            <w:tcW w:w="2430" w:type="dxa"/>
            <w:vAlign w:val="center"/>
          </w:tcPr>
          <w:p>
            <w:pPr>
              <w:spacing w:before="0" w:after="0" w:line="240" w:lineRule="exact"/>
              <w:jc w:val="right"/>
              <w:rPr>
                <w:rFonts w:ascii="宋体" w:hAnsi="宋体" w:eastAsia="宋体" w:cs="宋体"/>
                <w:sz w:val="18"/>
                <w:szCs w:val="18"/>
              </w:rPr>
            </w:pPr>
          </w:p>
        </w:tc>
        <w:tc>
          <w:tcPr>
            <w:tcW w:w="2271"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向其他金融机构拆入资金净增加额</w:t>
            </w:r>
          </w:p>
        </w:tc>
        <w:tc>
          <w:tcPr>
            <w:tcW w:w="2430" w:type="dxa"/>
            <w:vAlign w:val="center"/>
          </w:tcPr>
          <w:p>
            <w:pPr>
              <w:spacing w:before="0" w:after="0" w:line="240" w:lineRule="exact"/>
              <w:jc w:val="right"/>
              <w:rPr>
                <w:rFonts w:ascii="宋体" w:hAnsi="宋体" w:eastAsia="宋体" w:cs="宋体"/>
                <w:sz w:val="18"/>
                <w:szCs w:val="18"/>
              </w:rPr>
            </w:pPr>
          </w:p>
        </w:tc>
        <w:tc>
          <w:tcPr>
            <w:tcW w:w="2271"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收到原保险合同保费取得的现金</w:t>
            </w:r>
          </w:p>
        </w:tc>
        <w:tc>
          <w:tcPr>
            <w:tcW w:w="2430" w:type="dxa"/>
            <w:vAlign w:val="center"/>
          </w:tcPr>
          <w:p>
            <w:pPr>
              <w:spacing w:before="0" w:after="0" w:line="240" w:lineRule="exact"/>
              <w:jc w:val="right"/>
              <w:rPr>
                <w:rFonts w:ascii="宋体" w:hAnsi="宋体" w:eastAsia="宋体" w:cs="宋体"/>
                <w:sz w:val="18"/>
                <w:szCs w:val="18"/>
              </w:rPr>
            </w:pPr>
          </w:p>
        </w:tc>
        <w:tc>
          <w:tcPr>
            <w:tcW w:w="2271"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收到再保业务现金净额</w:t>
            </w:r>
          </w:p>
        </w:tc>
        <w:tc>
          <w:tcPr>
            <w:tcW w:w="2430" w:type="dxa"/>
            <w:vAlign w:val="center"/>
          </w:tcPr>
          <w:p>
            <w:pPr>
              <w:spacing w:before="0" w:after="0" w:line="240" w:lineRule="exact"/>
              <w:jc w:val="right"/>
              <w:rPr>
                <w:rFonts w:ascii="宋体" w:hAnsi="宋体" w:eastAsia="宋体" w:cs="宋体"/>
                <w:sz w:val="18"/>
                <w:szCs w:val="18"/>
              </w:rPr>
            </w:pPr>
          </w:p>
        </w:tc>
        <w:tc>
          <w:tcPr>
            <w:tcW w:w="2271"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保户储金及投资款净增加额</w:t>
            </w:r>
          </w:p>
        </w:tc>
        <w:tc>
          <w:tcPr>
            <w:tcW w:w="2430" w:type="dxa"/>
            <w:vAlign w:val="center"/>
          </w:tcPr>
          <w:p>
            <w:pPr>
              <w:spacing w:before="0" w:after="0" w:line="240" w:lineRule="exact"/>
              <w:jc w:val="right"/>
              <w:rPr>
                <w:rFonts w:ascii="宋体" w:hAnsi="宋体" w:eastAsia="宋体" w:cs="宋体"/>
                <w:sz w:val="18"/>
                <w:szCs w:val="18"/>
              </w:rPr>
            </w:pPr>
          </w:p>
        </w:tc>
        <w:tc>
          <w:tcPr>
            <w:tcW w:w="2271"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收取利息、手续费及佣金的现金</w:t>
            </w:r>
          </w:p>
        </w:tc>
        <w:tc>
          <w:tcPr>
            <w:tcW w:w="2430" w:type="dxa"/>
            <w:vAlign w:val="center"/>
          </w:tcPr>
          <w:p>
            <w:pPr>
              <w:spacing w:before="0" w:after="0" w:line="240" w:lineRule="exact"/>
              <w:jc w:val="right"/>
              <w:rPr>
                <w:rFonts w:ascii="宋体" w:hAnsi="宋体" w:eastAsia="宋体" w:cs="宋体"/>
                <w:sz w:val="18"/>
                <w:szCs w:val="18"/>
              </w:rPr>
            </w:pPr>
          </w:p>
        </w:tc>
        <w:tc>
          <w:tcPr>
            <w:tcW w:w="2271"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拆入资金净增加额</w:t>
            </w:r>
          </w:p>
        </w:tc>
        <w:tc>
          <w:tcPr>
            <w:tcW w:w="2430" w:type="dxa"/>
            <w:vAlign w:val="center"/>
          </w:tcPr>
          <w:p>
            <w:pPr>
              <w:spacing w:before="0" w:after="0" w:line="240" w:lineRule="exact"/>
              <w:jc w:val="right"/>
              <w:rPr>
                <w:rFonts w:ascii="宋体" w:hAnsi="宋体" w:eastAsia="宋体" w:cs="宋体"/>
                <w:sz w:val="18"/>
                <w:szCs w:val="18"/>
              </w:rPr>
            </w:pPr>
          </w:p>
        </w:tc>
        <w:tc>
          <w:tcPr>
            <w:tcW w:w="2271"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回购业务资金净增加额</w:t>
            </w:r>
          </w:p>
        </w:tc>
        <w:tc>
          <w:tcPr>
            <w:tcW w:w="2430" w:type="dxa"/>
            <w:vAlign w:val="center"/>
          </w:tcPr>
          <w:p>
            <w:pPr>
              <w:spacing w:before="0" w:after="0" w:line="240" w:lineRule="exact"/>
              <w:jc w:val="right"/>
              <w:rPr>
                <w:rFonts w:ascii="宋体" w:hAnsi="宋体" w:eastAsia="宋体" w:cs="宋体"/>
                <w:sz w:val="18"/>
                <w:szCs w:val="18"/>
              </w:rPr>
            </w:pPr>
          </w:p>
        </w:tc>
        <w:tc>
          <w:tcPr>
            <w:tcW w:w="2271"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代理买卖证券收到的现金净额</w:t>
            </w:r>
          </w:p>
        </w:tc>
        <w:tc>
          <w:tcPr>
            <w:tcW w:w="2430" w:type="dxa"/>
            <w:vAlign w:val="center"/>
          </w:tcPr>
          <w:p>
            <w:pPr>
              <w:spacing w:before="0" w:after="0" w:line="240" w:lineRule="exact"/>
              <w:jc w:val="right"/>
              <w:rPr>
                <w:rFonts w:ascii="宋体" w:hAnsi="宋体" w:eastAsia="宋体" w:cs="宋体"/>
                <w:sz w:val="18"/>
                <w:szCs w:val="18"/>
              </w:rPr>
            </w:pPr>
          </w:p>
        </w:tc>
        <w:tc>
          <w:tcPr>
            <w:tcW w:w="2271"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收到的税费返还</w:t>
            </w:r>
          </w:p>
        </w:tc>
        <w:tc>
          <w:tcPr>
            <w:tcW w:w="243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387,407.33</w:t>
            </w:r>
          </w:p>
        </w:tc>
        <w:tc>
          <w:tcPr>
            <w:tcW w:w="2271"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100,205.92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收到其他与经营活动有关的现金</w:t>
            </w:r>
          </w:p>
        </w:tc>
        <w:tc>
          <w:tcPr>
            <w:tcW w:w="243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10,515,427.70</w:t>
            </w:r>
          </w:p>
        </w:tc>
        <w:tc>
          <w:tcPr>
            <w:tcW w:w="2271"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7,636,312.28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经营活动现金流入小计</w:t>
            </w:r>
          </w:p>
        </w:tc>
        <w:tc>
          <w:tcPr>
            <w:tcW w:w="243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428,769,693.42</w:t>
            </w:r>
          </w:p>
        </w:tc>
        <w:tc>
          <w:tcPr>
            <w:tcW w:w="2271"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406,170,769.33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购买商品、接受劳务支付的现金</w:t>
            </w:r>
          </w:p>
        </w:tc>
        <w:tc>
          <w:tcPr>
            <w:tcW w:w="243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246,129,335.13</w:t>
            </w:r>
          </w:p>
        </w:tc>
        <w:tc>
          <w:tcPr>
            <w:tcW w:w="2271"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233,905,381.51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客户贷款及垫款净增加额</w:t>
            </w:r>
          </w:p>
        </w:tc>
        <w:tc>
          <w:tcPr>
            <w:tcW w:w="2430" w:type="dxa"/>
            <w:vAlign w:val="center"/>
          </w:tcPr>
          <w:p>
            <w:pPr>
              <w:spacing w:before="0" w:after="0" w:line="240" w:lineRule="exact"/>
              <w:jc w:val="right"/>
              <w:rPr>
                <w:rFonts w:ascii="宋体" w:hAnsi="宋体" w:eastAsia="宋体" w:cs="宋体"/>
                <w:sz w:val="18"/>
                <w:szCs w:val="18"/>
              </w:rPr>
            </w:pPr>
          </w:p>
        </w:tc>
        <w:tc>
          <w:tcPr>
            <w:tcW w:w="2271"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存放中央银行和同业款项净增加额</w:t>
            </w:r>
          </w:p>
        </w:tc>
        <w:tc>
          <w:tcPr>
            <w:tcW w:w="2430" w:type="dxa"/>
            <w:vAlign w:val="center"/>
          </w:tcPr>
          <w:p>
            <w:pPr>
              <w:spacing w:before="0" w:after="0" w:line="240" w:lineRule="exact"/>
              <w:jc w:val="right"/>
              <w:rPr>
                <w:rFonts w:ascii="宋体" w:hAnsi="宋体" w:eastAsia="宋体" w:cs="宋体"/>
                <w:sz w:val="18"/>
                <w:szCs w:val="18"/>
              </w:rPr>
            </w:pPr>
          </w:p>
        </w:tc>
        <w:tc>
          <w:tcPr>
            <w:tcW w:w="2271"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支付原保险合同赔付款项的现金</w:t>
            </w:r>
          </w:p>
        </w:tc>
        <w:tc>
          <w:tcPr>
            <w:tcW w:w="2430" w:type="dxa"/>
            <w:vAlign w:val="center"/>
          </w:tcPr>
          <w:p>
            <w:pPr>
              <w:spacing w:before="0" w:after="0" w:line="240" w:lineRule="exact"/>
              <w:jc w:val="right"/>
              <w:rPr>
                <w:rFonts w:ascii="宋体" w:hAnsi="宋体" w:eastAsia="宋体" w:cs="宋体"/>
                <w:sz w:val="18"/>
                <w:szCs w:val="18"/>
              </w:rPr>
            </w:pPr>
          </w:p>
        </w:tc>
        <w:tc>
          <w:tcPr>
            <w:tcW w:w="2271"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拆出资金净增加额</w:t>
            </w:r>
          </w:p>
        </w:tc>
        <w:tc>
          <w:tcPr>
            <w:tcW w:w="2430" w:type="dxa"/>
            <w:vAlign w:val="center"/>
          </w:tcPr>
          <w:p>
            <w:pPr>
              <w:spacing w:before="0" w:after="0" w:line="240" w:lineRule="exact"/>
              <w:jc w:val="right"/>
              <w:rPr>
                <w:rFonts w:ascii="宋体" w:hAnsi="宋体" w:eastAsia="宋体" w:cs="宋体"/>
                <w:sz w:val="18"/>
                <w:szCs w:val="18"/>
              </w:rPr>
            </w:pPr>
          </w:p>
        </w:tc>
        <w:tc>
          <w:tcPr>
            <w:tcW w:w="2271"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支付利息、手续费及佣金的现金</w:t>
            </w:r>
          </w:p>
        </w:tc>
        <w:tc>
          <w:tcPr>
            <w:tcW w:w="2430" w:type="dxa"/>
            <w:vAlign w:val="center"/>
          </w:tcPr>
          <w:p>
            <w:pPr>
              <w:spacing w:before="0" w:after="0" w:line="240" w:lineRule="exact"/>
              <w:jc w:val="right"/>
              <w:rPr>
                <w:rFonts w:ascii="宋体" w:hAnsi="宋体" w:eastAsia="宋体" w:cs="宋体"/>
                <w:sz w:val="18"/>
                <w:szCs w:val="18"/>
              </w:rPr>
            </w:pPr>
          </w:p>
        </w:tc>
        <w:tc>
          <w:tcPr>
            <w:tcW w:w="2271"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支付保单红利的现金</w:t>
            </w:r>
          </w:p>
        </w:tc>
        <w:tc>
          <w:tcPr>
            <w:tcW w:w="2430" w:type="dxa"/>
            <w:vAlign w:val="center"/>
          </w:tcPr>
          <w:p>
            <w:pPr>
              <w:spacing w:before="0" w:after="0" w:line="240" w:lineRule="exact"/>
              <w:jc w:val="right"/>
              <w:rPr>
                <w:rFonts w:ascii="宋体" w:hAnsi="宋体" w:eastAsia="宋体" w:cs="宋体"/>
                <w:sz w:val="18"/>
                <w:szCs w:val="18"/>
              </w:rPr>
            </w:pPr>
          </w:p>
        </w:tc>
        <w:tc>
          <w:tcPr>
            <w:tcW w:w="2271"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支付给职工及为职工支付的现金</w:t>
            </w:r>
          </w:p>
        </w:tc>
        <w:tc>
          <w:tcPr>
            <w:tcW w:w="243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51,440,382.75</w:t>
            </w:r>
          </w:p>
        </w:tc>
        <w:tc>
          <w:tcPr>
            <w:tcW w:w="2271"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56,219,999.19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支付的各项税费</w:t>
            </w:r>
          </w:p>
        </w:tc>
        <w:tc>
          <w:tcPr>
            <w:tcW w:w="243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50,138,295.57</w:t>
            </w:r>
          </w:p>
        </w:tc>
        <w:tc>
          <w:tcPr>
            <w:tcW w:w="2271"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53,300,423.28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支付其他与经营活动有关的现金</w:t>
            </w:r>
          </w:p>
        </w:tc>
        <w:tc>
          <w:tcPr>
            <w:tcW w:w="243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19,165,242.80</w:t>
            </w:r>
          </w:p>
        </w:tc>
        <w:tc>
          <w:tcPr>
            <w:tcW w:w="2271"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21,109,237.12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经营活动现金流出小计</w:t>
            </w:r>
          </w:p>
        </w:tc>
        <w:tc>
          <w:tcPr>
            <w:tcW w:w="243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366,873,256.25</w:t>
            </w:r>
          </w:p>
        </w:tc>
        <w:tc>
          <w:tcPr>
            <w:tcW w:w="2271"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364,535,041.10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经营活动产生的现金流量净额</w:t>
            </w:r>
          </w:p>
        </w:tc>
        <w:tc>
          <w:tcPr>
            <w:tcW w:w="243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61,896,437.17</w:t>
            </w:r>
          </w:p>
        </w:tc>
        <w:tc>
          <w:tcPr>
            <w:tcW w:w="2271"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41,635,728.23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二、投资活动产生的现金流量：</w:t>
            </w:r>
          </w:p>
        </w:tc>
        <w:tc>
          <w:tcPr>
            <w:tcW w:w="2430" w:type="dxa"/>
            <w:shd w:val="clear" w:color="auto" w:fill="D3D3D3"/>
            <w:vAlign w:val="center"/>
          </w:tcPr>
          <w:p/>
        </w:tc>
        <w:tc>
          <w:tcPr>
            <w:tcW w:w="2271" w:type="dxa"/>
            <w:shd w:val="clear" w:color="auto" w:fill="D3D3D3"/>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收回投资收到的现金</w:t>
            </w:r>
          </w:p>
        </w:tc>
        <w:tc>
          <w:tcPr>
            <w:tcW w:w="243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2,250,000,000.00</w:t>
            </w:r>
          </w:p>
        </w:tc>
        <w:tc>
          <w:tcPr>
            <w:tcW w:w="2271"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1,470,000,000.00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取得投资收益收到的现金</w:t>
            </w:r>
          </w:p>
        </w:tc>
        <w:tc>
          <w:tcPr>
            <w:tcW w:w="243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15,370,489.60</w:t>
            </w:r>
          </w:p>
        </w:tc>
        <w:tc>
          <w:tcPr>
            <w:tcW w:w="2271"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18,428,804.38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处置固定资产、无形资产和其他长期资产收回的现金净额</w:t>
            </w:r>
          </w:p>
        </w:tc>
        <w:tc>
          <w:tcPr>
            <w:tcW w:w="2430" w:type="dxa"/>
            <w:vAlign w:val="center"/>
          </w:tcPr>
          <w:p>
            <w:pPr>
              <w:spacing w:before="0" w:after="0" w:line="240" w:lineRule="exact"/>
              <w:jc w:val="right"/>
              <w:rPr>
                <w:rFonts w:ascii="宋体" w:hAnsi="宋体" w:eastAsia="宋体" w:cs="宋体"/>
                <w:sz w:val="18"/>
                <w:szCs w:val="18"/>
              </w:rPr>
            </w:pPr>
          </w:p>
        </w:tc>
        <w:tc>
          <w:tcPr>
            <w:tcW w:w="2271"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处置子公司及其他营业单位收到的现金净额</w:t>
            </w:r>
          </w:p>
        </w:tc>
        <w:tc>
          <w:tcPr>
            <w:tcW w:w="2430" w:type="dxa"/>
            <w:vAlign w:val="center"/>
          </w:tcPr>
          <w:p>
            <w:pPr>
              <w:spacing w:before="0" w:after="0" w:line="240" w:lineRule="exact"/>
              <w:jc w:val="right"/>
              <w:rPr>
                <w:rFonts w:ascii="宋体" w:hAnsi="宋体" w:eastAsia="宋体" w:cs="宋体"/>
                <w:sz w:val="18"/>
                <w:szCs w:val="18"/>
              </w:rPr>
            </w:pPr>
          </w:p>
        </w:tc>
        <w:tc>
          <w:tcPr>
            <w:tcW w:w="2271"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收到其他与投资活动有关的现金</w:t>
            </w:r>
          </w:p>
        </w:tc>
        <w:tc>
          <w:tcPr>
            <w:tcW w:w="2430" w:type="dxa"/>
            <w:vAlign w:val="center"/>
          </w:tcPr>
          <w:p>
            <w:pPr>
              <w:spacing w:before="0" w:after="0" w:line="240" w:lineRule="exact"/>
              <w:jc w:val="right"/>
              <w:rPr>
                <w:rFonts w:ascii="宋体" w:hAnsi="宋体" w:eastAsia="宋体" w:cs="宋体"/>
                <w:sz w:val="18"/>
                <w:szCs w:val="18"/>
              </w:rPr>
            </w:pPr>
          </w:p>
        </w:tc>
        <w:tc>
          <w:tcPr>
            <w:tcW w:w="2271"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投资活动现金流入小计</w:t>
            </w:r>
          </w:p>
        </w:tc>
        <w:tc>
          <w:tcPr>
            <w:tcW w:w="243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2,265,370,489.60</w:t>
            </w:r>
          </w:p>
        </w:tc>
        <w:tc>
          <w:tcPr>
            <w:tcW w:w="2271"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1,488,428,804.38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购建固定资产、无形资产和其他长期资产支付的现金</w:t>
            </w:r>
          </w:p>
        </w:tc>
        <w:tc>
          <w:tcPr>
            <w:tcW w:w="243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3,627,677.22</w:t>
            </w:r>
          </w:p>
        </w:tc>
        <w:tc>
          <w:tcPr>
            <w:tcW w:w="2271"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5,368,600.34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投资支付的现金</w:t>
            </w:r>
          </w:p>
        </w:tc>
        <w:tc>
          <w:tcPr>
            <w:tcW w:w="243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2,233,049,100.00</w:t>
            </w:r>
          </w:p>
        </w:tc>
        <w:tc>
          <w:tcPr>
            <w:tcW w:w="2271"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1,540,000,000.00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质押贷款净增加额</w:t>
            </w:r>
          </w:p>
        </w:tc>
        <w:tc>
          <w:tcPr>
            <w:tcW w:w="2430" w:type="dxa"/>
            <w:vAlign w:val="center"/>
          </w:tcPr>
          <w:p>
            <w:pPr>
              <w:spacing w:before="0" w:after="0" w:line="240" w:lineRule="exact"/>
              <w:jc w:val="right"/>
              <w:rPr>
                <w:rFonts w:ascii="宋体" w:hAnsi="宋体" w:eastAsia="宋体" w:cs="宋体"/>
                <w:sz w:val="18"/>
                <w:szCs w:val="18"/>
              </w:rPr>
            </w:pPr>
          </w:p>
        </w:tc>
        <w:tc>
          <w:tcPr>
            <w:tcW w:w="2271"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取得子公司及其他营业单位支付的现金净额</w:t>
            </w:r>
          </w:p>
        </w:tc>
        <w:tc>
          <w:tcPr>
            <w:tcW w:w="2430" w:type="dxa"/>
            <w:vAlign w:val="center"/>
          </w:tcPr>
          <w:p>
            <w:pPr>
              <w:spacing w:before="0" w:after="0" w:line="240" w:lineRule="exact"/>
              <w:jc w:val="right"/>
              <w:rPr>
                <w:rFonts w:ascii="宋体" w:hAnsi="宋体" w:eastAsia="宋体" w:cs="宋体"/>
                <w:sz w:val="18"/>
                <w:szCs w:val="18"/>
              </w:rPr>
            </w:pPr>
          </w:p>
        </w:tc>
        <w:tc>
          <w:tcPr>
            <w:tcW w:w="2271"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支付其他与投资活动有关的现金</w:t>
            </w:r>
          </w:p>
        </w:tc>
        <w:tc>
          <w:tcPr>
            <w:tcW w:w="2430" w:type="dxa"/>
            <w:vAlign w:val="center"/>
          </w:tcPr>
          <w:p>
            <w:pPr>
              <w:spacing w:before="0" w:after="0" w:line="240" w:lineRule="exact"/>
              <w:jc w:val="right"/>
              <w:rPr>
                <w:rFonts w:ascii="宋体" w:hAnsi="宋体" w:eastAsia="宋体" w:cs="宋体"/>
                <w:sz w:val="18"/>
                <w:szCs w:val="18"/>
              </w:rPr>
            </w:pPr>
          </w:p>
        </w:tc>
        <w:tc>
          <w:tcPr>
            <w:tcW w:w="2271"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投资活动现金流出小计</w:t>
            </w:r>
          </w:p>
        </w:tc>
        <w:tc>
          <w:tcPr>
            <w:tcW w:w="243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2,236,676,777.22</w:t>
            </w:r>
          </w:p>
        </w:tc>
        <w:tc>
          <w:tcPr>
            <w:tcW w:w="2271"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1,545,368,600.34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投资活动产生的现金流量净额</w:t>
            </w:r>
          </w:p>
        </w:tc>
        <w:tc>
          <w:tcPr>
            <w:tcW w:w="243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28,693,712.38</w:t>
            </w:r>
          </w:p>
        </w:tc>
        <w:tc>
          <w:tcPr>
            <w:tcW w:w="2271"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-56,939,795.96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三、筹资活动产生的现金流量：</w:t>
            </w:r>
          </w:p>
        </w:tc>
        <w:tc>
          <w:tcPr>
            <w:tcW w:w="2430" w:type="dxa"/>
            <w:shd w:val="clear" w:color="auto" w:fill="D3D3D3"/>
            <w:vAlign w:val="center"/>
          </w:tcPr>
          <w:p/>
        </w:tc>
        <w:tc>
          <w:tcPr>
            <w:tcW w:w="2271" w:type="dxa"/>
            <w:shd w:val="clear" w:color="auto" w:fill="D3D3D3"/>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吸收投资收到的现金</w:t>
            </w:r>
          </w:p>
        </w:tc>
        <w:tc>
          <w:tcPr>
            <w:tcW w:w="2430" w:type="dxa"/>
            <w:vAlign w:val="center"/>
          </w:tcPr>
          <w:p>
            <w:pPr>
              <w:spacing w:before="0" w:after="0" w:line="240" w:lineRule="exact"/>
              <w:jc w:val="right"/>
              <w:rPr>
                <w:rFonts w:ascii="宋体" w:hAnsi="宋体" w:eastAsia="宋体" w:cs="宋体"/>
                <w:sz w:val="18"/>
                <w:szCs w:val="18"/>
              </w:rPr>
            </w:pPr>
          </w:p>
        </w:tc>
        <w:tc>
          <w:tcPr>
            <w:tcW w:w="2271"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ind w:firstLine="360" w:firstLineChars="200"/>
              <w:jc w:val="left"/>
              <w:rPr>
                <w:rFonts w:ascii="宋体" w:hAnsi="宋体" w:eastAsia="宋体" w:cs="宋体"/>
                <w:sz w:val="18"/>
                <w:szCs w:val="18"/>
              </w:rPr>
            </w:pPr>
            <w:r>
              <w:rPr>
                <w:rFonts w:ascii="宋体" w:hAnsi="宋体" w:eastAsia="宋体" w:cs="宋体"/>
                <w:sz w:val="18"/>
                <w:szCs w:val="18"/>
              </w:rPr>
              <w:t>其中：子公司吸收少数股东投资收到的现金</w:t>
            </w:r>
          </w:p>
        </w:tc>
        <w:tc>
          <w:tcPr>
            <w:tcW w:w="2430" w:type="dxa"/>
            <w:vAlign w:val="center"/>
          </w:tcPr>
          <w:p>
            <w:pPr>
              <w:spacing w:before="0" w:after="0" w:line="240" w:lineRule="exact"/>
              <w:jc w:val="right"/>
              <w:rPr>
                <w:rFonts w:ascii="宋体" w:hAnsi="宋体" w:eastAsia="宋体" w:cs="宋体"/>
                <w:sz w:val="18"/>
                <w:szCs w:val="18"/>
              </w:rPr>
            </w:pPr>
          </w:p>
        </w:tc>
        <w:tc>
          <w:tcPr>
            <w:tcW w:w="2271"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取得借款收到的现金</w:t>
            </w:r>
          </w:p>
        </w:tc>
        <w:tc>
          <w:tcPr>
            <w:tcW w:w="2430" w:type="dxa"/>
            <w:vAlign w:val="center"/>
          </w:tcPr>
          <w:p>
            <w:pPr>
              <w:spacing w:before="0" w:after="0" w:line="240" w:lineRule="exact"/>
              <w:jc w:val="right"/>
              <w:rPr>
                <w:rFonts w:ascii="宋体" w:hAnsi="宋体" w:eastAsia="宋体" w:cs="宋体"/>
                <w:sz w:val="18"/>
                <w:szCs w:val="18"/>
              </w:rPr>
            </w:pPr>
          </w:p>
        </w:tc>
        <w:tc>
          <w:tcPr>
            <w:tcW w:w="2271"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收到其他与筹资活动有关的现金</w:t>
            </w:r>
          </w:p>
        </w:tc>
        <w:tc>
          <w:tcPr>
            <w:tcW w:w="2430" w:type="dxa"/>
            <w:vAlign w:val="center"/>
          </w:tcPr>
          <w:p>
            <w:pPr>
              <w:spacing w:before="0" w:after="0" w:line="240" w:lineRule="exact"/>
              <w:jc w:val="right"/>
              <w:rPr>
                <w:rFonts w:ascii="宋体" w:hAnsi="宋体" w:eastAsia="宋体" w:cs="宋体"/>
                <w:sz w:val="18"/>
                <w:szCs w:val="18"/>
              </w:rPr>
            </w:pPr>
          </w:p>
        </w:tc>
        <w:tc>
          <w:tcPr>
            <w:tcW w:w="2271"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筹资活动现金流入小计</w:t>
            </w:r>
          </w:p>
        </w:tc>
        <w:tc>
          <w:tcPr>
            <w:tcW w:w="2430" w:type="dxa"/>
            <w:vAlign w:val="center"/>
          </w:tcPr>
          <w:p>
            <w:pPr>
              <w:spacing w:before="0" w:after="0" w:line="240" w:lineRule="exact"/>
              <w:jc w:val="right"/>
              <w:rPr>
                <w:rFonts w:ascii="宋体" w:hAnsi="宋体" w:eastAsia="宋体" w:cs="宋体"/>
                <w:sz w:val="18"/>
                <w:szCs w:val="18"/>
              </w:rPr>
            </w:pPr>
          </w:p>
        </w:tc>
        <w:tc>
          <w:tcPr>
            <w:tcW w:w="2271"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偿还债务支付的现金</w:t>
            </w:r>
          </w:p>
        </w:tc>
        <w:tc>
          <w:tcPr>
            <w:tcW w:w="2430" w:type="dxa"/>
            <w:vAlign w:val="center"/>
          </w:tcPr>
          <w:p>
            <w:pPr>
              <w:spacing w:before="0" w:after="0" w:line="240" w:lineRule="exact"/>
              <w:jc w:val="right"/>
              <w:rPr>
                <w:rFonts w:ascii="宋体" w:hAnsi="宋体" w:eastAsia="宋体" w:cs="宋体"/>
                <w:sz w:val="18"/>
                <w:szCs w:val="18"/>
              </w:rPr>
            </w:pPr>
          </w:p>
        </w:tc>
        <w:tc>
          <w:tcPr>
            <w:tcW w:w="2271"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分配股利、利润或偿付利息支付的现金</w:t>
            </w:r>
          </w:p>
        </w:tc>
        <w:tc>
          <w:tcPr>
            <w:tcW w:w="243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43,945,703.86</w:t>
            </w:r>
          </w:p>
        </w:tc>
        <w:tc>
          <w:tcPr>
            <w:tcW w:w="2271"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34,003,361.70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ind w:firstLine="360" w:firstLineChars="200"/>
              <w:jc w:val="left"/>
              <w:rPr>
                <w:rFonts w:ascii="宋体" w:hAnsi="宋体" w:eastAsia="宋体" w:cs="宋体"/>
                <w:sz w:val="18"/>
                <w:szCs w:val="18"/>
              </w:rPr>
            </w:pPr>
            <w:r>
              <w:rPr>
                <w:rFonts w:ascii="宋体" w:hAnsi="宋体" w:eastAsia="宋体" w:cs="宋体"/>
                <w:sz w:val="18"/>
                <w:szCs w:val="18"/>
              </w:rPr>
              <w:t>其中：子公司支付给少数股东的股利、利润</w:t>
            </w:r>
          </w:p>
        </w:tc>
        <w:tc>
          <w:tcPr>
            <w:tcW w:w="2430" w:type="dxa"/>
            <w:vAlign w:val="center"/>
          </w:tcPr>
          <w:p>
            <w:pPr>
              <w:spacing w:before="0" w:after="0" w:line="240" w:lineRule="exact"/>
              <w:jc w:val="right"/>
              <w:rPr>
                <w:rFonts w:ascii="宋体" w:hAnsi="宋体" w:eastAsia="宋体" w:cs="宋体"/>
                <w:sz w:val="18"/>
                <w:szCs w:val="18"/>
              </w:rPr>
            </w:pPr>
          </w:p>
        </w:tc>
        <w:tc>
          <w:tcPr>
            <w:tcW w:w="2271"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支付其他与筹资活动有关的现金</w:t>
            </w:r>
          </w:p>
        </w:tc>
        <w:tc>
          <w:tcPr>
            <w:tcW w:w="2430" w:type="dxa"/>
            <w:vAlign w:val="center"/>
          </w:tcPr>
          <w:p>
            <w:pPr>
              <w:spacing w:before="0" w:after="0" w:line="240" w:lineRule="exact"/>
              <w:jc w:val="right"/>
              <w:rPr>
                <w:rFonts w:ascii="宋体" w:hAnsi="宋体" w:eastAsia="宋体" w:cs="宋体"/>
                <w:sz w:val="18"/>
                <w:szCs w:val="18"/>
              </w:rPr>
            </w:pPr>
          </w:p>
        </w:tc>
        <w:tc>
          <w:tcPr>
            <w:tcW w:w="2271" w:type="dxa"/>
            <w:vAlign w:val="center"/>
          </w:tcPr>
          <w:p>
            <w:pPr>
              <w:spacing w:before="0" w:after="0" w:line="240" w:lineRule="exact"/>
              <w:jc w:val="righ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筹资活动现金流出小计</w:t>
            </w:r>
          </w:p>
        </w:tc>
        <w:tc>
          <w:tcPr>
            <w:tcW w:w="243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43,945,703.86</w:t>
            </w:r>
          </w:p>
        </w:tc>
        <w:tc>
          <w:tcPr>
            <w:tcW w:w="2271"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34,003,361.70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筹资活动产生的现金流量净额</w:t>
            </w:r>
          </w:p>
        </w:tc>
        <w:tc>
          <w:tcPr>
            <w:tcW w:w="243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-43,945,703.86</w:t>
            </w:r>
          </w:p>
        </w:tc>
        <w:tc>
          <w:tcPr>
            <w:tcW w:w="2271"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-34,003,361.70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四、汇率变动对现金及现金等价物的影响</w:t>
            </w:r>
          </w:p>
        </w:tc>
        <w:tc>
          <w:tcPr>
            <w:tcW w:w="243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-239,053.65</w:t>
            </w:r>
          </w:p>
        </w:tc>
        <w:tc>
          <w:tcPr>
            <w:tcW w:w="2271"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23,428.97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五、现金及现金等价物净增加额</w:t>
            </w:r>
          </w:p>
        </w:tc>
        <w:tc>
          <w:tcPr>
            <w:tcW w:w="243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46,405,392.04</w:t>
            </w:r>
          </w:p>
        </w:tc>
        <w:tc>
          <w:tcPr>
            <w:tcW w:w="2271"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-49,284,000.46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加：期初现金及现金等价物余额</w:t>
            </w:r>
          </w:p>
        </w:tc>
        <w:tc>
          <w:tcPr>
            <w:tcW w:w="243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169,938,139.07</w:t>
            </w:r>
          </w:p>
        </w:tc>
        <w:tc>
          <w:tcPr>
            <w:tcW w:w="2271"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182,149,064.12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38" w:type="dxa"/>
            <w:shd w:val="clear" w:color="auto" w:fill="D3D3D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六、期末现金及现金等价物余额</w:t>
            </w:r>
          </w:p>
        </w:tc>
        <w:tc>
          <w:tcPr>
            <w:tcW w:w="243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216,343,531.11</w:t>
            </w:r>
          </w:p>
        </w:tc>
        <w:tc>
          <w:tcPr>
            <w:tcW w:w="2271"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132,865,063.66</w:t>
            </w:r>
          </w:p>
        </w:tc>
      </w:tr>
    </w:tbl>
    <w:p>
      <w:pPr>
        <w:keepNext/>
        <w:keepLines/>
        <w:pageBreakBefore w:val="0"/>
        <w:widowControl w:val="0"/>
        <w:kinsoku/>
        <w:wordWrap/>
        <w:overflowPunct/>
        <w:topLinePunct w:val="0"/>
        <w:autoSpaceDE/>
        <w:autoSpaceDN/>
        <w:bidi w:val="0"/>
        <w:adjustRightInd/>
        <w:snapToGrid/>
        <w:spacing w:before="200" w:after="200" w:line="280" w:lineRule="exact"/>
        <w:jc w:val="left"/>
        <w:textAlignment w:val="auto"/>
        <w:outlineLvl w:val="1"/>
        <w:rPr>
          <w:rFonts w:ascii="宋体" w:hAnsi="宋体" w:eastAsia="宋体" w:cs="宋体"/>
          <w:b/>
          <w:bCs/>
          <w:sz w:val="21"/>
          <w:szCs w:val="21"/>
        </w:rPr>
      </w:pPr>
      <w:bookmarkStart w:id="13" w:name="_Toc988902"/>
      <w:r>
        <w:rPr>
          <w:rFonts w:ascii="宋体" w:hAnsi="宋体" w:eastAsia="宋体" w:cs="宋体"/>
          <w:b/>
          <w:bCs/>
          <w:sz w:val="21"/>
          <w:szCs w:val="21"/>
        </w:rPr>
        <w:t>（二）2024年起首次执行新会计准则调整首次执行当年年初财务报表相关项目情况</w:t>
      </w:r>
      <w:bookmarkEnd w:id="13"/>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21"/>
          <w:szCs w:val="21"/>
        </w:rPr>
      </w:pPr>
      <w:r>
        <w:rPr>
          <w:rFonts w:ascii="宋体" w:hAnsi="宋体" w:eastAsia="宋体" w:cs="宋体"/>
          <w:sz w:val="21"/>
          <w:szCs w:val="21"/>
        </w:rPr>
        <w:t xml:space="preserve">□适用 </w:t>
      </w:r>
      <w:r>
        <w:rPr>
          <w:rFonts w:ascii="宋体" w:hAnsi="宋体" w:eastAsia="宋体" w:cs="宋体"/>
          <w:sz w:val="21"/>
          <w:szCs w:val="21"/>
        </w:rPr>
        <w:sym w:font="Wingdings 2" w:char="F052"/>
      </w:r>
      <w:r>
        <w:rPr>
          <w:rFonts w:ascii="宋体" w:hAnsi="宋体" w:eastAsia="宋体" w:cs="宋体"/>
          <w:sz w:val="21"/>
          <w:szCs w:val="21"/>
        </w:rPr>
        <w:t>不适用</w:t>
      </w:r>
    </w:p>
    <w:p>
      <w:pPr>
        <w:keepNext/>
        <w:keepLines/>
        <w:pageBreakBefore w:val="0"/>
        <w:widowControl w:val="0"/>
        <w:kinsoku/>
        <w:wordWrap/>
        <w:overflowPunct/>
        <w:topLinePunct w:val="0"/>
        <w:autoSpaceDE/>
        <w:autoSpaceDN/>
        <w:bidi w:val="0"/>
        <w:adjustRightInd/>
        <w:snapToGrid/>
        <w:spacing w:before="200" w:after="200" w:line="280" w:lineRule="exact"/>
        <w:jc w:val="left"/>
        <w:textAlignment w:val="auto"/>
        <w:outlineLvl w:val="1"/>
        <w:rPr>
          <w:rFonts w:ascii="宋体" w:hAnsi="宋体" w:eastAsia="宋体" w:cs="宋体"/>
          <w:b/>
          <w:bCs/>
          <w:sz w:val="21"/>
          <w:szCs w:val="21"/>
        </w:rPr>
      </w:pPr>
      <w:bookmarkStart w:id="14" w:name="_Toc988903"/>
      <w:r>
        <w:rPr>
          <w:rFonts w:ascii="宋体" w:hAnsi="宋体" w:eastAsia="宋体" w:cs="宋体"/>
          <w:b/>
          <w:bCs/>
          <w:sz w:val="21"/>
          <w:szCs w:val="21"/>
        </w:rPr>
        <w:t>（三）审计报告</w:t>
      </w:r>
      <w:bookmarkEnd w:id="14"/>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21"/>
          <w:szCs w:val="21"/>
        </w:rPr>
      </w:pPr>
      <w:r>
        <w:rPr>
          <w:rFonts w:ascii="宋体" w:hAnsi="宋体" w:eastAsia="宋体" w:cs="宋体"/>
          <w:sz w:val="21"/>
          <w:szCs w:val="21"/>
        </w:rPr>
        <w:t>第三季度报告是否经过审计</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21"/>
          <w:szCs w:val="21"/>
        </w:rPr>
      </w:pPr>
      <w:r>
        <w:rPr>
          <w:rFonts w:ascii="宋体" w:hAnsi="宋体" w:eastAsia="宋体" w:cs="宋体"/>
          <w:sz w:val="21"/>
          <w:szCs w:val="21"/>
        </w:rPr>
        <w:t xml:space="preserve">□是 </w:t>
      </w:r>
      <w:r>
        <w:rPr>
          <w:rFonts w:ascii="宋体" w:hAnsi="宋体" w:eastAsia="宋体" w:cs="宋体"/>
          <w:sz w:val="21"/>
          <w:szCs w:val="21"/>
        </w:rPr>
        <w:sym w:font="Wingdings 2" w:char="F052"/>
      </w:r>
      <w:r>
        <w:rPr>
          <w:rFonts w:ascii="宋体" w:hAnsi="宋体" w:eastAsia="宋体" w:cs="宋体"/>
          <w:sz w:val="21"/>
          <w:szCs w:val="21"/>
        </w:rPr>
        <w:t>否</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21"/>
          <w:szCs w:val="21"/>
        </w:rPr>
      </w:pPr>
      <w:r>
        <w:rPr>
          <w:rFonts w:ascii="宋体" w:hAnsi="宋体" w:eastAsia="宋体" w:cs="宋体"/>
          <w:sz w:val="21"/>
          <w:szCs w:val="21"/>
        </w:rPr>
        <w:t>公司第三季度报告未经审计。</w:t>
      </w:r>
    </w:p>
    <w:p>
      <w:pPr>
        <w:spacing w:before="100" w:after="100" w:line="240" w:lineRule="exact"/>
        <w:jc w:val="right"/>
        <w:rPr>
          <w:rFonts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before="100" w:after="100" w:line="400" w:lineRule="exact"/>
        <w:jc w:val="right"/>
        <w:textAlignment w:val="auto"/>
        <w:rPr>
          <w:rFonts w:ascii="宋体" w:hAnsi="宋体" w:eastAsia="宋体" w:cs="宋体"/>
          <w:sz w:val="21"/>
          <w:szCs w:val="21"/>
        </w:rPr>
      </w:pPr>
      <w:r>
        <w:rPr>
          <w:rFonts w:ascii="宋体" w:hAnsi="宋体" w:eastAsia="宋体" w:cs="宋体"/>
          <w:sz w:val="21"/>
          <w:szCs w:val="21"/>
        </w:rPr>
        <w:t>青岛食品股份有限公司</w:t>
      </w:r>
    </w:p>
    <w:p>
      <w:pPr>
        <w:keepNext w:val="0"/>
        <w:keepLines w:val="0"/>
        <w:pageBreakBefore w:val="0"/>
        <w:widowControl w:val="0"/>
        <w:kinsoku/>
        <w:wordWrap/>
        <w:overflowPunct/>
        <w:topLinePunct w:val="0"/>
        <w:autoSpaceDE/>
        <w:autoSpaceDN/>
        <w:bidi w:val="0"/>
        <w:adjustRightInd/>
        <w:snapToGrid/>
        <w:spacing w:before="100" w:after="100" w:line="400" w:lineRule="exact"/>
        <w:jc w:val="right"/>
        <w:textAlignment w:val="auto"/>
        <w:rPr>
          <w:rFonts w:ascii="宋体" w:hAnsi="宋体" w:eastAsia="宋体" w:cs="宋体"/>
          <w:sz w:val="21"/>
          <w:szCs w:val="21"/>
        </w:rPr>
      </w:pPr>
      <w:r>
        <w:rPr>
          <w:rFonts w:ascii="宋体" w:hAnsi="宋体" w:eastAsia="宋体" w:cs="宋体"/>
          <w:sz w:val="21"/>
          <w:szCs w:val="21"/>
        </w:rPr>
        <w:t>董事会</w:t>
      </w:r>
    </w:p>
    <w:p>
      <w:pPr>
        <w:keepNext w:val="0"/>
        <w:keepLines w:val="0"/>
        <w:pageBreakBefore w:val="0"/>
        <w:widowControl w:val="0"/>
        <w:kinsoku/>
        <w:wordWrap/>
        <w:overflowPunct/>
        <w:topLinePunct w:val="0"/>
        <w:autoSpaceDE/>
        <w:autoSpaceDN/>
        <w:bidi w:val="0"/>
        <w:adjustRightInd/>
        <w:snapToGrid/>
        <w:spacing w:before="100" w:after="100" w:line="400" w:lineRule="exact"/>
        <w:jc w:val="right"/>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2024年10月29日</w:t>
      </w:r>
    </w:p>
    <w:sectPr>
      <w:headerReference r:id="rId3" w:type="default"/>
      <w:footerReference r:id="rId4" w:type="default"/>
      <w:pgSz w:w="11905" w:h="16840"/>
      <w:pgMar w:top="1440" w:right="1134" w:bottom="1440" w:left="1134" w:header="850"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rPr>
        <w:rFonts w:ascii="宋体" w:eastAsia="宋体"/>
        <w:sz w:val="18"/>
        <w:szCs w:val="18"/>
      </w:rPr>
      <w:fldChar w:fldCharType="begin"/>
    </w:r>
    <w:r>
      <w:rPr>
        <w:rFonts w:ascii="宋体" w:eastAsia="宋体"/>
        <w:sz w:val="18"/>
        <w:szCs w:val="18"/>
      </w:rPr>
      <w:instrText xml:space="preserve">PAGE   \* MERGEFORMAT</w:instrText>
    </w:r>
    <w:r>
      <w:rPr>
        <w:rFonts w:ascii="宋体" w:eastAsia="宋体"/>
        <w:sz w:val="18"/>
        <w:szCs w:val="18"/>
      </w:rPr>
      <w:fldChar w:fldCharType="separate"/>
    </w:r>
    <w:r>
      <w:rPr>
        <w:rFonts w:ascii="宋体" w:eastAsia="宋体"/>
        <w:sz w:val="18"/>
        <w:szCs w:val="18"/>
      </w:rPr>
      <w:t>1</w:t>
    </w:r>
    <w:r>
      <w:rPr>
        <w:rFonts w:ascii="宋体" w:eastAsia="宋体"/>
        <w:sz w:val="18"/>
        <w:szCs w:val="1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jc w:val="right"/>
    </w:pPr>
    <w:r>
      <w:rPr>
        <w:rFonts w:ascii="宋体" w:eastAsia="宋体"/>
        <w:sz w:val="18"/>
        <w:szCs w:val="18"/>
      </w:rPr>
      <w:drawing>
        <wp:anchor distT="0" distB="0" distL="114300" distR="114300" simplePos="0" relativeHeight="251659264" behindDoc="0" locked="0" layoutInCell="1" allowOverlap="1">
          <wp:simplePos x="0" y="0"/>
          <wp:positionH relativeFrom="column">
            <wp:posOffset>-92075</wp:posOffset>
          </wp:positionH>
          <wp:positionV relativeFrom="paragraph">
            <wp:posOffset>-628650</wp:posOffset>
          </wp:positionV>
          <wp:extent cx="1029970" cy="1029970"/>
          <wp:effectExtent l="0" t="0" r="0" b="0"/>
          <wp:wrapNone/>
          <wp:docPr id="1" name="图片 1" descr="微信图片_20231201160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31201160657"/>
                  <pic:cNvPicPr>
                    <a:picLocks noChangeAspect="1"/>
                  </pic:cNvPicPr>
                </pic:nvPicPr>
                <pic:blipFill>
                  <a:blip r:embed="rId1"/>
                  <a:stretch>
                    <a:fillRect/>
                  </a:stretch>
                </pic:blipFill>
                <pic:spPr>
                  <a:xfrm>
                    <a:off x="0" y="0"/>
                    <a:ext cx="1029970" cy="1029970"/>
                  </a:xfrm>
                  <a:prstGeom prst="rect">
                    <a:avLst/>
                  </a:prstGeom>
                </pic:spPr>
              </pic:pic>
            </a:graphicData>
          </a:graphic>
        </wp:anchor>
      </w:drawing>
    </w:r>
    <w:r>
      <w:rPr>
        <w:rFonts w:ascii="宋体" w:eastAsia="宋体"/>
        <w:sz w:val="18"/>
        <w:szCs w:val="18"/>
      </w:rPr>
      <w:t>青岛食品股份有限公司2024年第三季度报告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doNotExpandShiftReturn/>
    <w:useFELayout/>
    <w:compatSetting w:name="compatibilityMode" w:uri="http://schemas.microsoft.com/office/word" w:val="14"/>
  </w:compat>
  <w:docVars>
    <w:docVar w:name="commondata" w:val="eyJoZGlkIjoiMzE2MWM4NGI3Zjc4YmM2NmMwMDA5N2UzMzkwMGYwZGQifQ=="/>
  </w:docVars>
  <w:rsids>
    <w:rsidRoot w:val="00000000"/>
    <w:rsid w:val="07EF5AE5"/>
    <w:rsid w:val="090A14CB"/>
    <w:rsid w:val="0E8F7729"/>
    <w:rsid w:val="1733461B"/>
    <w:rsid w:val="493136FB"/>
    <w:rsid w:val="622B7232"/>
    <w:rsid w:val="6EE62D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16</TotalTime>
  <ScaleCrop>false</ScaleCrop>
  <LinksUpToDate>false</LinksUpToDate>
  <Application>WPS Office_12.1.0.16120_F1E327BC-269C-435d-A152-05C5408002CA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2024-10-22T00:13:00Z</dcterms:created>
  <dc:creator>Administrator.USER-20191202VK</dc:creator>
  <cp:lastModifiedBy>李春宏</cp:lastModifiedBy>
  <cp:lastPrinted>2024-10-23T00:11:00Z</cp:lastPrinted>
  <dcterms:modified xsi:type="dcterms:W3CDTF">2024-10-28T06:54:00Z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22839272C677488FA35E1E411D4EBD6E_12</vt:lpwstr>
  </property>
</Properties>
</file>